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5F" w:rsidRDefault="00871AC6" w:rsidP="00871AC6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 w:rsidRPr="00871AC6">
        <w:rPr>
          <w:b/>
          <w:u w:val="single"/>
        </w:rPr>
        <w:t>LES IMMUNOGLOBULINES</w:t>
      </w:r>
    </w:p>
    <w:p w:rsidR="00871AC6" w:rsidRDefault="00871AC6" w:rsidP="00871AC6">
      <w:pPr>
        <w:spacing w:after="0" w:line="240" w:lineRule="auto"/>
      </w:pPr>
    </w:p>
    <w:p w:rsidR="00871AC6" w:rsidRDefault="00871AC6" w:rsidP="00871AC6">
      <w:pPr>
        <w:spacing w:after="0" w:line="240" w:lineRule="auto"/>
      </w:pPr>
      <w:r>
        <w:t xml:space="preserve">= molécules supportant la </w:t>
      </w:r>
      <w:proofErr w:type="spellStart"/>
      <w:r>
        <w:t>fct</w:t>
      </w:r>
      <w:proofErr w:type="spellEnd"/>
      <w:r>
        <w:t>° d’</w:t>
      </w:r>
      <w:proofErr w:type="spellStart"/>
      <w:r>
        <w:t>Ac</w:t>
      </w:r>
      <w:proofErr w:type="spellEnd"/>
      <w:r>
        <w:t xml:space="preserve">, </w:t>
      </w:r>
      <w:proofErr w:type="spellStart"/>
      <w:r>
        <w:t>ds</w:t>
      </w:r>
      <w:proofErr w:type="spellEnd"/>
      <w:r>
        <w:t xml:space="preserve"> le cadre de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  <w:r>
        <w:t xml:space="preserve"> spécifique (adaptatives)</w:t>
      </w:r>
    </w:p>
    <w:p w:rsidR="00EC093E" w:rsidRDefault="00EC093E" w:rsidP="00871AC6">
      <w:pPr>
        <w:spacing w:after="0" w:line="240" w:lineRule="auto"/>
      </w:pPr>
    </w:p>
    <w:p w:rsidR="00871AC6" w:rsidRDefault="00871AC6" w:rsidP="00871AC6">
      <w:pPr>
        <w:spacing w:after="0" w:line="240" w:lineRule="auto"/>
      </w:pPr>
      <w:r>
        <w:t xml:space="preserve">2 façons de reconnaitre l’Ag </w:t>
      </w:r>
      <w:proofErr w:type="spellStart"/>
      <w:r>
        <w:t>ds</w:t>
      </w:r>
      <w:proofErr w:type="spellEnd"/>
      <w:r>
        <w:t xml:space="preserve">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spéci</w:t>
      </w:r>
      <w:proofErr w:type="spellEnd"/>
      <w:r>
        <w:t> :</w:t>
      </w:r>
      <w:r>
        <w:tab/>
        <w:t xml:space="preserve">sous sa forme globale, native, non dégradée = reconnu par </w:t>
      </w:r>
      <w:proofErr w:type="spellStart"/>
      <w:r>
        <w:t>Ig</w:t>
      </w:r>
      <w:proofErr w:type="spellEnd"/>
    </w:p>
    <w:p w:rsidR="00871AC6" w:rsidRDefault="00871AC6" w:rsidP="00871AC6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sous</w:t>
      </w:r>
      <w:proofErr w:type="gramEnd"/>
      <w:r>
        <w:t xml:space="preserve"> sa forme dégradée, de peptides présentés au </w:t>
      </w:r>
      <w:proofErr w:type="spellStart"/>
      <w:r>
        <w:t>cell</w:t>
      </w:r>
      <w:proofErr w:type="spellEnd"/>
      <w:r>
        <w:t xml:space="preserve"> avec des molécules du soi = reconnus par les TCR des LT</w:t>
      </w:r>
    </w:p>
    <w:p w:rsidR="00871AC6" w:rsidRDefault="00871AC6" w:rsidP="00871AC6">
      <w:pPr>
        <w:spacing w:after="0" w:line="240" w:lineRule="auto"/>
      </w:pPr>
    </w:p>
    <w:p w:rsidR="00D43C61" w:rsidRDefault="00D43C61" w:rsidP="00D43C61">
      <w:pPr>
        <w:spacing w:after="0" w:line="240" w:lineRule="auto"/>
        <w:ind w:firstLine="708"/>
      </w:pPr>
      <w:proofErr w:type="gramStart"/>
      <w:r>
        <w:t>plasmocytes</w:t>
      </w:r>
      <w:proofErr w:type="gramEnd"/>
      <w:r>
        <w:t xml:space="preserve"> = LB différenciés après activation par Ag</w:t>
      </w:r>
    </w:p>
    <w:p w:rsidR="00871AC6" w:rsidRDefault="00871AC6" w:rsidP="00871AC6">
      <w:pPr>
        <w:spacing w:after="0" w:line="240" w:lineRule="auto"/>
      </w:pPr>
      <w:r w:rsidRPr="00871AC6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3286125" cy="1609725"/>
            <wp:effectExtent l="0" t="0" r="0" b="0"/>
            <wp:wrapSquare wrapText="bothSides"/>
            <wp:docPr id="1" name="Obje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15400" cy="4283075"/>
                      <a:chOff x="228600" y="1736725"/>
                      <a:chExt cx="8915400" cy="4283075"/>
                    </a:xfrm>
                  </a:grpSpPr>
                  <a:grpSp>
                    <a:nvGrpSpPr>
                      <a:cNvPr id="2126" name="Group 78"/>
                      <a:cNvGrpSpPr>
                        <a:grpSpLocks/>
                      </a:cNvGrpSpPr>
                    </a:nvGrpSpPr>
                    <a:grpSpPr bwMode="auto">
                      <a:xfrm>
                        <a:off x="228600" y="1752600"/>
                        <a:ext cx="6416675" cy="3484563"/>
                        <a:chOff x="144" y="1104"/>
                        <a:chExt cx="4042" cy="2195"/>
                      </a:xfrm>
                    </a:grpSpPr>
                    <a:grpSp>
                      <a:nvGrpSpPr>
                        <a:cNvPr id="3" name="Group 72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44" y="1105"/>
                          <a:ext cx="3792" cy="2198"/>
                          <a:chOff x="144" y="1104"/>
                          <a:chExt cx="3792" cy="2106"/>
                        </a:xfrm>
                      </a:grpSpPr>
                      <a:sp>
                        <a:nvSpPr>
                          <a:cNvPr id="2054" name="Text Box 6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92" y="1104"/>
                            <a:ext cx="3060" cy="2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fr-FR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fr-FR" sz="2400" b="1">
                                  <a:solidFill>
                                    <a:schemeClr val="accent2"/>
                                  </a:solidFill>
                                  <a:effectLst/>
                                </a:rPr>
                                <a:t>Synthétisées par les lymphocytes B, </a:t>
                              </a:r>
                            </a:p>
                          </a:txBody>
                          <a:useSpRect/>
                        </a:txSp>
                      </a:sp>
                      <a:grpSp>
                        <a:nvGrpSpPr>
                          <a:cNvPr id="6" name="Group 71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144" y="1783"/>
                            <a:ext cx="3792" cy="1427"/>
                            <a:chOff x="144" y="1783"/>
                            <a:chExt cx="3792" cy="1427"/>
                          </a:xfrm>
                        </a:grpSpPr>
                        <a:pic>
                          <a:nvPicPr>
                            <a:cNvPr id="2056" name="Picture 8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5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202" y="1814"/>
                              <a:ext cx="562" cy="9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</a:pic>
                        <a:pic>
                          <a:nvPicPr>
                            <a:cNvPr id="2057" name="Picture 9"/>
                            <a:cNvPicPr>
                              <a:picLocks noChangeAspect="1" noChangeArrowheads="1"/>
                            </a:cNvPicPr>
                          </a:nvPicPr>
                          <a:blipFill>
                            <a:blip r:embed="rId5"/>
                            <a:srcRect/>
                            <a:stretch>
                              <a:fillRect/>
                            </a:stretch>
                          </a:blipFill>
                          <a:spPr bwMode="auto">
                            <a:xfrm>
                              <a:off x="1010" y="1814"/>
                              <a:ext cx="562" cy="923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</a:pic>
                        <a:grpSp>
                          <a:nvGrpSpPr>
                            <a:cNvPr id="9" name="Group 47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2054" y="1783"/>
                              <a:ext cx="562" cy="885"/>
                              <a:chOff x="2332" y="1968"/>
                              <a:chExt cx="562" cy="885"/>
                            </a:xfrm>
                          </a:grpSpPr>
                          <a:pic>
                            <a:nvPicPr>
                              <a:cNvPr id="2059" name="Picture 11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5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2054" y="1814"/>
                                <a:ext cx="562" cy="9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</a:pic>
                          <a:grpSp>
                            <a:nvGrpSpPr>
                              <a:cNvPr id="24" name="Group 39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2352" y="2112"/>
                                <a:ext cx="424" cy="263"/>
                                <a:chOff x="2356" y="2121"/>
                                <a:chExt cx="424" cy="263"/>
                              </a:xfrm>
                            </a:grpSpPr>
                            <a:sp>
                              <a:nvSpPr>
                                <a:cNvPr id="2063" name="Text Box 15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592" y="2162"/>
                                  <a:ext cx="188" cy="2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65" name="Text Box 17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496" y="2121"/>
                                  <a:ext cx="188" cy="2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66" name="Text Box 18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2356" y="2162"/>
                                  <a:ext cx="188" cy="2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</a:grpSp>
                        <a:grpSp>
                          <a:nvGrpSpPr>
                            <a:cNvPr id="10" name="Group 40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3368" y="1783"/>
                              <a:ext cx="562" cy="885"/>
                              <a:chOff x="3024" y="1968"/>
                              <a:chExt cx="562" cy="885"/>
                            </a:xfrm>
                          </a:grpSpPr>
                          <a:pic>
                            <a:nvPicPr>
                              <a:cNvPr id="2060" name="Picture 12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5"/>
                              <a:srcRect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3368" y="1814"/>
                                <a:ext cx="562" cy="92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</a:pic>
                          <a:sp>
                            <a:nvSpPr>
                              <a:cNvPr id="2067" name="Text Box 19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316" y="2140"/>
                                <a:ext cx="188" cy="22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fr-FR" sz="1800" b="1">
                                      <a:solidFill>
                                        <a:srgbClr val="FF0206"/>
                                      </a:solidFill>
                                      <a:effectLst/>
                                    </a:rPr>
                                    <a:t>*</a:t>
                                  </a:r>
                                  <a:endParaRPr lang="fr-FR" sz="2400" b="1">
                                    <a:effectLst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068" name="Text Box 20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364" y="2236"/>
                                <a:ext cx="188" cy="22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fr-FR" sz="1800" b="1">
                                      <a:solidFill>
                                        <a:srgbClr val="FF0206"/>
                                      </a:solidFill>
                                      <a:effectLst/>
                                    </a:rPr>
                                    <a:t>*</a:t>
                                  </a:r>
                                  <a:endParaRPr lang="fr-FR" sz="2400" b="1">
                                    <a:effectLst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069" name="Text Box 21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364" y="2332"/>
                                <a:ext cx="188" cy="222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fr-FR" sz="1800" b="1">
                                      <a:solidFill>
                                        <a:srgbClr val="FF0206"/>
                                      </a:solidFill>
                                      <a:effectLst/>
                                    </a:rPr>
                                    <a:t>*</a:t>
                                  </a:r>
                                  <a:endParaRPr lang="fr-FR" sz="2400" b="1">
                                    <a:effectLst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2091" name="Text Box 4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44" y="2408"/>
                              <a:ext cx="548" cy="3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fr-FR" sz="18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Cellule</a:t>
                                </a:r>
                                <a:endParaRPr lang="fr-FR" sz="1800">
                                  <a:solidFill>
                                    <a:schemeClr val="accent2"/>
                                  </a:solidFill>
                                  <a:effectLst/>
                                </a:endParaRPr>
                              </a:p>
                              <a:p>
                                <a:r>
                                  <a:rPr lang="fr-FR" sz="18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souche</a:t>
                                </a:r>
                                <a:endParaRPr lang="fr-FR" sz="2400" b="1">
                                  <a:effectLst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92" name="Text Box 4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850" y="2408"/>
                              <a:ext cx="732" cy="3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fr-FR" sz="18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Pré-pré-B</a:t>
                                </a:r>
                              </a:p>
                              <a:p>
                                <a:pPr algn="ctr"/>
                                <a:r>
                                  <a:rPr lang="fr-FR" sz="18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Ig</a:t>
                                </a:r>
                                <a:r>
                                  <a:rPr lang="fr-FR" sz="1800" b="1" baseline="30000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-</a:t>
                                </a:r>
                                <a:endParaRPr lang="fr-FR" sz="2400" b="1">
                                  <a:effectLst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093" name="Text Box 4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498" y="2428"/>
                              <a:ext cx="1516" cy="3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fr-FR" sz="18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Pré-B</a:t>
                                </a:r>
                              </a:p>
                              <a:p>
                                <a:pPr algn="ctr"/>
                                <a:r>
                                  <a:rPr lang="fr-FR" sz="18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Ig</a:t>
                                </a:r>
                                <a:r>
                                  <a:rPr lang="fr-FR" sz="1800" b="1" baseline="30000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 </a:t>
                                </a:r>
                                <a:r>
                                  <a:rPr lang="fr-FR" sz="18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intracytoplasmiques</a:t>
                                </a:r>
                                <a:endParaRPr lang="fr-FR" sz="2400" b="1">
                                  <a:effectLst/>
                                </a:endParaRPr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103" name="Line 55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40" y="3024"/>
                              <a:ext cx="36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 type="triangle" w="med" len="med"/>
                              <a:tailEnd type="triangl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fr-FR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105" name="Line 57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672" y="2208"/>
                              <a:ext cx="33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fr-FR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106" name="Line 58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1536" y="2208"/>
                              <a:ext cx="48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fr-FR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107" name="Line 59"/>
                            <a:cNvSpPr>
                              <a:spLocks noChangeShapeType="1"/>
                            </a:cNvSpPr>
                          </a:nvSpPr>
                          <a:spPr bwMode="auto">
                            <a:xfrm>
                              <a:off x="2592" y="2208"/>
                              <a:ext cx="72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chemeClr val="tx1"/>
                              </a:solidFill>
                              <a:round/>
                              <a:headEnd/>
                              <a:tailEnd type="triangle" w="med" len="med"/>
                            </a:ln>
                            <a:effectLst/>
                          </a:spPr>
                          <a:txSp>
                            <a:txBody>
                              <a:bodyPr wrap="none" anchor="ctr"/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endParaRPr lang="fr-FR"/>
                              </a:p>
                            </a:txBody>
                            <a:useSpRect/>
                          </a:txSp>
                        </a:sp>
                        <a:sp>
                          <a:nvSpPr>
                            <a:cNvPr id="2115" name="Text Box 67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1430" y="2928"/>
                              <a:ext cx="1321" cy="28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9525">
                              <a:solidFill>
                                <a:srgbClr val="FF0206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fr-FR" sz="2400" b="1">
                                    <a:solidFill>
                                      <a:srgbClr val="FF0206"/>
                                    </a:solidFill>
                                    <a:effectLst/>
                                  </a:rPr>
                                  <a:t>Moelle osseuse</a:t>
                                </a:r>
                                <a:endParaRPr lang="fr-FR" sz="2400" b="1">
                                  <a:effectLst/>
                                </a:endParaRPr>
                              </a:p>
                            </a:txBody>
                            <a:useSpRect/>
                          </a:txSp>
                        </a:sp>
                      </a:grpSp>
                    </a:grpSp>
                    <a:sp>
                      <a:nvSpPr>
                        <a:cNvPr id="2094" name="Text Box 46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3022" y="2400"/>
                          <a:ext cx="1164" cy="40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>
                            <a:spAutoFit/>
                          </a:bodyPr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fr-FR" sz="1800" b="1">
                                <a:solidFill>
                                  <a:schemeClr val="accent2"/>
                                </a:solidFill>
                                <a:effectLst/>
                              </a:rPr>
                              <a:t>Lymphocyte B</a:t>
                            </a:r>
                          </a:p>
                          <a:p>
                            <a:pPr algn="ctr"/>
                            <a:r>
                              <a:rPr lang="fr-FR" sz="1800" b="1">
                                <a:solidFill>
                                  <a:schemeClr val="accent2"/>
                                </a:solidFill>
                                <a:effectLst/>
                              </a:rPr>
                              <a:t>Ig</a:t>
                            </a:r>
                            <a:r>
                              <a:rPr lang="fr-FR" sz="1800" b="1" baseline="30000">
                                <a:solidFill>
                                  <a:schemeClr val="accent2"/>
                                </a:solidFill>
                                <a:effectLst/>
                              </a:rPr>
                              <a:t> </a:t>
                            </a:r>
                            <a:r>
                              <a:rPr lang="fr-FR" sz="1800" b="1">
                                <a:solidFill>
                                  <a:schemeClr val="accent2"/>
                                </a:solidFill>
                                <a:effectLst/>
                              </a:rPr>
                              <a:t>membranaires</a:t>
                            </a:r>
                            <a:endParaRPr lang="fr-FR" sz="2400" b="1">
                              <a:effectLst/>
                            </a:endParaRPr>
                          </a:p>
                        </a:txBody>
                        <a:useSpRect/>
                      </a:txSp>
                    </a:sp>
                  </a:grpSp>
                  <a:sp>
                    <a:nvSpPr>
                      <a:cNvPr id="2124" name="Rectangle 76"/>
                      <a:cNvSpPr>
                        <a:spLocks noChangeArrowheads="1"/>
                      </a:cNvSpPr>
                    </a:nvSpPr>
                    <a:spPr bwMode="auto">
                      <a:xfrm>
                        <a:off x="7256463" y="4414838"/>
                        <a:ext cx="184150" cy="57943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FR">
                            <a:effectLst>
                              <a:outerShdw blurRad="38100" dist="38100" dir="2700000" algn="tl">
                                <a:srgbClr val="C0C0C0"/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  <a:grpSp>
                    <a:nvGrpSpPr>
                      <a:cNvPr id="2127" name="Group 79"/>
                      <a:cNvGrpSpPr>
                        <a:grpSpLocks/>
                      </a:cNvGrpSpPr>
                    </a:nvGrpSpPr>
                    <a:grpSpPr bwMode="auto">
                      <a:xfrm>
                        <a:off x="4937125" y="1736725"/>
                        <a:ext cx="4206875" cy="4283075"/>
                        <a:chOff x="3110" y="1094"/>
                        <a:chExt cx="2650" cy="2698"/>
                      </a:xfrm>
                    </a:grpSpPr>
                    <a:sp>
                      <a:nvSpPr>
                        <a:cNvPr id="2113" name="Line 65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3984" y="3642"/>
                          <a:ext cx="1776" cy="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FR"/>
                          </a:p>
                        </a:txBody>
                        <a:useSpRect/>
                      </a:txSp>
                    </a:sp>
                    <a:sp>
                      <a:nvSpPr>
                        <a:cNvPr id="2117" name="Line 69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4128" y="2208"/>
                          <a:ext cx="0" cy="129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61E324"/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fr-FR"/>
                            </a:defPPr>
                            <a:lvl1pPr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eaLnBrk="0" fontAlgn="base" hangingPunct="0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3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Times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fr-FR"/>
                          </a:p>
                        </a:txBody>
                        <a:useSpRect/>
                      </a:txSp>
                    </a:sp>
                    <a:grpSp>
                      <a:nvGrpSpPr>
                        <a:cNvPr id="32" name="Group 77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110" y="1094"/>
                          <a:ext cx="2477" cy="2698"/>
                          <a:chOff x="3110" y="1094"/>
                          <a:chExt cx="2477" cy="2698"/>
                        </a:xfrm>
                      </a:grpSpPr>
                      <a:grpSp>
                        <a:nvGrpSpPr>
                          <a:cNvPr id="33" name="Group 74"/>
                          <a:cNvGrpSpPr>
                            <a:grpSpLocks/>
                          </a:cNvGrpSpPr>
                        </a:nvGrpSpPr>
                        <a:grpSpPr bwMode="auto">
                          <a:xfrm>
                            <a:off x="3110" y="1094"/>
                            <a:ext cx="2477" cy="2698"/>
                            <a:chOff x="3110" y="1094"/>
                            <a:chExt cx="2477" cy="2698"/>
                          </a:xfrm>
                        </a:grpSpPr>
                        <a:grpSp>
                          <a:nvGrpSpPr>
                            <a:cNvPr id="35" name="Group 73"/>
                            <a:cNvGrpSpPr>
                              <a:grpSpLocks/>
                            </a:cNvGrpSpPr>
                          </a:nvGrpSpPr>
                          <a:grpSpPr bwMode="auto">
                            <a:xfrm>
                              <a:off x="3888" y="1296"/>
                              <a:ext cx="1689" cy="2496"/>
                              <a:chOff x="3888" y="1296"/>
                              <a:chExt cx="1689" cy="2496"/>
                            </a:xfrm>
                          </a:grpSpPr>
                          <a:grpSp>
                            <a:nvGrpSpPr>
                              <a:cNvPr id="37" name="Group 49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4752" y="2380"/>
                                <a:ext cx="562" cy="885"/>
                                <a:chOff x="4667" y="2544"/>
                                <a:chExt cx="562" cy="885"/>
                              </a:xfrm>
                            </a:grpSpPr>
                            <a:pic>
                              <a:nvPicPr>
                                <a:cNvPr id="2061" name="Picture 13"/>
                                <a:cNvPicPr>
                                  <a:picLocks noChangeAspect="1" noChangeArrowheads="1"/>
                                </a:cNvPicPr>
                              </a:nvPicPr>
                              <a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spPr bwMode="auto">
                                <a:xfrm>
                                  <a:off x="4752" y="2380"/>
                                  <a:ext cx="562" cy="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</a:pic>
                            <a:grpSp>
                              <a:nvGrpSpPr>
                                <a:cNvPr id="61" name="Group 42"/>
                                <a:cNvGrpSpPr>
                                  <a:grpSpLocks/>
                                </a:cNvGrpSpPr>
                              </a:nvGrpSpPr>
                              <a:grpSpPr bwMode="auto">
                                <a:xfrm>
                                  <a:off x="4708" y="2649"/>
                                  <a:ext cx="476" cy="327"/>
                                  <a:chOff x="4708" y="2649"/>
                                  <a:chExt cx="476" cy="327"/>
                                </a:xfrm>
                              </a:grpSpPr>
                              <a:sp>
                                <a:nvSpPr>
                                  <a:cNvPr id="2084" name="Text Box 36"/>
                                  <a:cNvSpPr txBox="1"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4900" y="2649"/>
                                    <a:ext cx="188" cy="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</a:spPr>
                                <a:txSp>
                                  <a:txBody>
                                    <a:bodyPr wrap="none">
                                      <a:spAutoFit/>
                                    </a:bodyPr>
                                    <a:lstStyle>
                                      <a:defPPr>
                                        <a:defRPr lang="fr-FR"/>
                                      </a:defPPr>
                                      <a:lvl1pPr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r>
                                        <a:rPr lang="fr-FR" sz="1800" b="1">
                                          <a:solidFill>
                                            <a:srgbClr val="FF0206"/>
                                          </a:solidFill>
                                          <a:effectLst/>
                                        </a:rPr>
                                        <a:t>*</a:t>
                                      </a:r>
                                      <a:endParaRPr lang="fr-FR" sz="2400" b="1">
                                        <a:effectLst/>
                                      </a:endParaRP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2085" name="Text Box 37"/>
                                  <a:cNvSpPr txBox="1"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4708" y="2649"/>
                                    <a:ext cx="188" cy="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</a:spPr>
                                <a:txSp>
                                  <a:txBody>
                                    <a:bodyPr wrap="none">
                                      <a:spAutoFit/>
                                    </a:bodyPr>
                                    <a:lstStyle>
                                      <a:defPPr>
                                        <a:defRPr lang="fr-FR"/>
                                      </a:defPPr>
                                      <a:lvl1pPr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r>
                                        <a:rPr lang="fr-FR" sz="1800" b="1">
                                          <a:solidFill>
                                            <a:srgbClr val="FF0206"/>
                                          </a:solidFill>
                                          <a:effectLst/>
                                        </a:rPr>
                                        <a:t>*</a:t>
                                      </a:r>
                                      <a:endParaRPr lang="fr-FR" sz="2400" b="1">
                                        <a:effectLst/>
                                      </a:endParaRPr>
                                    </a:p>
                                  </a:txBody>
                                  <a:useSpRect/>
                                </a:txSp>
                              </a:sp>
                              <a:sp>
                                <a:nvSpPr>
                                  <a:cNvPr id="2086" name="Text Box 38"/>
                                  <a:cNvSpPr txBox="1"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4996" y="2745"/>
                                    <a:ext cx="188" cy="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  <a:effectLst/>
                                </a:spPr>
                                <a:txSp>
                                  <a:txBody>
                                    <a:bodyPr wrap="none">
                                      <a:spAutoFit/>
                                    </a:bodyPr>
                                    <a:lstStyle>
                                      <a:defPPr>
                                        <a:defRPr lang="fr-FR"/>
                                      </a:defPPr>
                                      <a:lvl1pPr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1pPr>
                                      <a:lvl2pPr marL="4572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2pPr>
                                      <a:lvl3pPr marL="9144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3pPr>
                                      <a:lvl4pPr marL="13716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4pPr>
                                      <a:lvl5pPr marL="1828800" algn="l" rtl="0" eaLnBrk="0" fontAlgn="base" hangingPunct="0"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sz="3200" kern="1200">
                                          <a:solidFill>
                                            <a:schemeClr val="tx1"/>
                                          </a:solidFill>
                                          <a:effectLst>
                                            <a:outerShdw blurRad="38100" dist="38100" dir="2700000" algn="tl">
                                              <a:srgbClr val="000000">
                                                <a:alpha val="43137"/>
                                              </a:srgbClr>
                                            </a:outerShdw>
                                          </a:effectLst>
                                          <a:latin typeface="Times" charset="0"/>
                                          <a:ea typeface="+mn-ea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r>
                                        <a:rPr lang="fr-FR" sz="1800" b="1">
                                          <a:solidFill>
                                            <a:srgbClr val="FF0206"/>
                                          </a:solidFill>
                                          <a:effectLst/>
                                        </a:rPr>
                                        <a:t>*</a:t>
                                      </a:r>
                                      <a:endParaRPr lang="fr-FR" sz="2400" b="1">
                                        <a:effectLst/>
                                      </a:endParaRPr>
                                    </a:p>
                                  </a:txBody>
                                  <a:useSpRect/>
                                </a:txSp>
                              </a:sp>
                            </a:grpSp>
                          </a:grpSp>
                          <a:grpSp>
                            <a:nvGrpSpPr>
                              <a:cNvPr id="38" name="Group 50"/>
                              <a:cNvGrpSpPr>
                                <a:grpSpLocks/>
                              </a:cNvGrpSpPr>
                            </a:nvGrpSpPr>
                            <a:grpSpPr bwMode="auto">
                              <a:xfrm>
                                <a:off x="4464" y="1296"/>
                                <a:ext cx="1104" cy="1152"/>
                                <a:chOff x="4416" y="2160"/>
                                <a:chExt cx="1104" cy="1152"/>
                              </a:xfrm>
                            </a:grpSpPr>
                            <a:pic>
                              <a:nvPicPr>
                                <a:cNvPr id="2062" name="Picture 14"/>
                                <a:cNvPicPr>
                                  <a:picLocks noChangeAspect="1" noChangeArrowheads="1"/>
                                </a:cNvPicPr>
                              </a:nvPicPr>
                              <a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a:blipFill>
                              <a:spPr bwMode="auto">
                                <a:xfrm>
                                  <a:off x="4464" y="1440"/>
                                  <a:ext cx="901" cy="6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</a:pic>
                            <a:sp>
                              <a:nvSpPr>
                                <a:cNvPr id="2078" name="Text Box 30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140" y="2160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0" name="Text Box 22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4944" y="2265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1" name="Text Box 23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040" y="2256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2" name="Text Box 24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088" y="2457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3" name="Text Box 25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280" y="2601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4" name="Text Box 26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4992" y="2457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5" name="Text Box 27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4948" y="2553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6" name="Text Box 28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4996" y="2640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7" name="Text Box 29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092" y="2592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79" name="Text Box 31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332" y="2496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80" name="Text Box 32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136" y="2265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81" name="Text Box 33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236" y="2265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82" name="Text Box 34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232" y="2361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83" name="Text Box 35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5236" y="2457"/>
                                  <a:ext cx="188" cy="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r>
                                      <a:rPr lang="fr-FR" sz="1800" b="1">
                                        <a:solidFill>
                                          <a:srgbClr val="FF0206"/>
                                        </a:solidFill>
                                        <a:effectLst/>
                                      </a:rPr>
                                      <a:t>*</a:t>
                                    </a:r>
                                    <a:endParaRPr lang="fr-FR" sz="2400" b="1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  <a:sp>
                              <a:nvSpPr>
                                <a:cNvPr id="2096" name="Text Box 48"/>
                                <a:cNvSpPr txBox="1">
                                  <a:spLocks noChangeArrowheads="1"/>
                                </a:cNvSpPr>
                              </a:nvSpPr>
                              <a:spPr bwMode="auto">
                                <a:xfrm>
                                  <a:off x="4548" y="2908"/>
                                  <a:ext cx="812" cy="4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  <a:effectLst/>
                              </a:spPr>
                              <a:txSp>
                                <a:txBody>
                                  <a:bodyPr wrap="none">
                                    <a:spAutoFit/>
                                  </a:bodyPr>
                                  <a:lstStyle>
                                    <a:defPPr>
                                      <a:defRPr lang="fr-FR"/>
                                    </a:defPPr>
                                    <a:lvl1pPr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1pPr>
                                    <a:lvl2pPr marL="4572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2pPr>
                                    <a:lvl3pPr marL="9144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3pPr>
                                    <a:lvl4pPr marL="13716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4pPr>
                                    <a:lvl5pPr marL="1828800" algn="l" rtl="0" eaLnBrk="0" fontAlgn="base" hangingPunct="0">
                                      <a:spcBef>
                                        <a:spcPct val="0"/>
                                      </a:spcBef>
                                      <a:spcAft>
                                        <a:spcPct val="0"/>
                                      </a:spcAft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5pPr>
                                    <a:lvl6pPr marL="22860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6pPr>
                                    <a:lvl7pPr marL="27432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7pPr>
                                    <a:lvl8pPr marL="32004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8pPr>
                                    <a:lvl9pPr marL="3657600" algn="l" defTabSz="914400" rtl="0" eaLnBrk="1" latinLnBrk="0" hangingPunct="1">
                                      <a:defRPr sz="3200" kern="1200">
                                        <a:solidFill>
                                          <a:schemeClr val="tx1"/>
                                        </a:solidFill>
                                        <a:effectLst>
                                          <a:outerShdw blurRad="38100" dist="38100" dir="2700000" algn="tl">
                                            <a:srgbClr val="000000">
                                              <a:alpha val="43137"/>
                                            </a:srgbClr>
                                          </a:outerShdw>
                                        </a:effectLst>
                                        <a:latin typeface="Times" charset="0"/>
                                        <a:ea typeface="+mn-ea"/>
                                        <a:cs typeface="+mn-cs"/>
                                      </a:defRPr>
                                    </a:lvl9pPr>
                                  </a:lstStyle>
                                  <a:p>
                                    <a:pPr algn="ctr"/>
                                    <a:r>
                                      <a:rPr lang="fr-FR" sz="1800" b="1" dirty="0">
                                        <a:solidFill>
                                          <a:schemeClr val="accent2"/>
                                        </a:solidFill>
                                        <a:effectLst/>
                                      </a:rPr>
                                      <a:t>Plasmocyte</a:t>
                                    </a:r>
                                  </a:p>
                                  <a:p>
                                    <a:pPr algn="ctr"/>
                                    <a:r>
                                      <a:rPr lang="fr-FR" sz="1800" b="1" dirty="0" err="1">
                                        <a:solidFill>
                                          <a:schemeClr val="accent2"/>
                                        </a:solidFill>
                                        <a:effectLst/>
                                      </a:rPr>
                                      <a:t>Ig</a:t>
                                    </a:r>
                                    <a:r>
                                      <a:rPr lang="fr-FR" sz="1800" b="1" baseline="30000" dirty="0">
                                        <a:solidFill>
                                          <a:schemeClr val="accent2"/>
                                        </a:solidFill>
                                        <a:effectLst/>
                                      </a:rPr>
                                      <a:t> </a:t>
                                    </a:r>
                                    <a:r>
                                      <a:rPr lang="fr-FR" sz="1800" b="1" dirty="0">
                                        <a:solidFill>
                                          <a:schemeClr val="accent2"/>
                                        </a:solidFill>
                                        <a:effectLst/>
                                      </a:rPr>
                                      <a:t>sécrétées</a:t>
                                    </a:r>
                                    <a:endParaRPr lang="fr-FR" sz="2400" b="1" dirty="0">
                                      <a:effectLst/>
                                    </a:endParaRPr>
                                  </a:p>
                                </a:txBody>
                                <a:useSpRect/>
                              </a:txSp>
                            </a:sp>
                          </a:grpSp>
                          <a:sp>
                            <a:nvSpPr>
                              <a:cNvPr id="2108" name="Line 60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3936" y="2208"/>
                                <a:ext cx="432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fr-FR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110" name="AutoShape 62"/>
                              <a:cNvSpPr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984" y="1872"/>
                                <a:ext cx="240" cy="240"/>
                              </a:xfrm>
                              <a:prstGeom prst="downArrow">
                                <a:avLst>
                                  <a:gd name="adj1" fmla="val 40000"/>
                                  <a:gd name="adj2" fmla="val 35417"/>
                                </a:avLst>
                              </a:prstGeom>
                              <a:solidFill>
                                <a:srgbClr val="61E324"/>
                              </a:solidFill>
                              <a:ln w="9525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fr-FR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111" name="Text Box 63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3888" y="1517"/>
                                <a:ext cx="429" cy="3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fr-FR" b="1">
                                      <a:solidFill>
                                        <a:srgbClr val="61E324"/>
                                      </a:solidFill>
                                      <a:effectLst/>
                                    </a:rPr>
                                    <a:t>Ag</a:t>
                                  </a:r>
                                  <a:endParaRPr lang="fr-FR" b="1">
                                    <a:effectLst/>
                                  </a:endParaRPr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114" name="Line 66"/>
                              <a:cNvSpPr>
                                <a:spLocks noChangeShapeType="1"/>
                              </a:cNvSpPr>
                            </a:nvSpPr>
                            <a:spPr bwMode="auto">
                              <a:xfrm>
                                <a:off x="3936" y="2208"/>
                                <a:ext cx="624" cy="528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ffectLst/>
                            </a:spPr>
                            <a:txSp>
                              <a:txBody>
                                <a:bodyPr wrap="none" anchor="ctr"/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endParaRPr lang="fr-FR"/>
                                </a:p>
                              </a:txBody>
                              <a:useSpRect/>
                            </a:txSp>
                          </a:sp>
                          <a:sp>
                            <a:nvSpPr>
                              <a:cNvPr id="2116" name="Text Box 68"/>
                              <a:cNvSpPr txBox="1">
                                <a:spLocks noChangeArrowheads="1"/>
                              </a:cNvSpPr>
                            </a:nvSpPr>
                            <a:spPr bwMode="auto">
                              <a:xfrm>
                                <a:off x="4272" y="3498"/>
                                <a:ext cx="1305" cy="29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rgbClr val="FF0206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a:spPr>
                            <a:txSp>
                              <a:txBody>
                                <a:bodyPr wrap="none">
                                  <a:spAutoFit/>
                                </a:bodyPr>
                                <a:lstStyle>
                                  <a:defPPr>
                                    <a:defRPr lang="fr-FR"/>
                                  </a:defPPr>
                                  <a:lvl1pPr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rtl="0" eaLnBrk="0" fontAlgn="base" hangingPunct="0">
                                    <a:spcBef>
                                      <a:spcPct val="0"/>
                                    </a:spcBef>
                                    <a:spcAft>
                                      <a:spcPct val="0"/>
                                    </a:spcAft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3200" kern="1200">
                                      <a:solidFill>
                                        <a:schemeClr val="tx1"/>
                                      </a:solidFill>
                                      <a:effectLst>
                                        <a:outerShdw blurRad="38100" dist="38100" dir="2700000" algn="tl">
                                          <a:srgbClr val="000000">
                                            <a:alpha val="43137"/>
                                          </a:srgbClr>
                                        </a:outerShdw>
                                      </a:effectLst>
                                      <a:latin typeface="Times" charset="0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fr-FR" sz="2400" b="1">
                                      <a:solidFill>
                                        <a:srgbClr val="FF0206"/>
                                      </a:solidFill>
                                      <a:effectLst/>
                                    </a:rPr>
                                    <a:t>Ganglion, rate</a:t>
                                  </a:r>
                                  <a:endParaRPr lang="fr-FR" sz="2400" b="1">
                                    <a:effectLst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  <a:sp>
                          <a:nvSpPr>
                            <a:cNvPr id="2118" name="Text Box 70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110" y="1094"/>
                              <a:ext cx="2477" cy="2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  <a:effectLst/>
                          </a:spPr>
                          <a:txSp>
                            <a:txBody>
                              <a:bodyPr wrap="none">
                                <a:spAutoFit/>
                              </a:bodyPr>
                              <a:lstStyle>
                                <a:defPPr>
                                  <a:defRPr lang="fr-FR"/>
                                </a:defPPr>
                                <a:lvl1pPr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eaLnBrk="0" fontAlgn="base" hangingPunct="0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3200" kern="1200">
                                    <a:solidFill>
                                      <a:schemeClr val="tx1"/>
                                    </a:solidFill>
                                    <a:effectLst>
                                      <a:outerShdw blurRad="38100" dist="38100" dir="2700000" algn="tl">
                                        <a:srgbClr val="000000">
                                          <a:alpha val="43137"/>
                                        </a:srgbClr>
                                      </a:outerShdw>
                                    </a:effectLst>
                                    <a:latin typeface="Times" charset="0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r>
                                  <a:rPr lang="fr-FR" sz="2400" b="1">
                                    <a:solidFill>
                                      <a:schemeClr val="accent2"/>
                                    </a:solidFill>
                                    <a:effectLst/>
                                  </a:rPr>
                                  <a:t>sécrétées par les plasmocytes</a:t>
                                </a:r>
                              </a:p>
                            </a:txBody>
                            <a:useSpRect/>
                          </a:txSp>
                        </a:sp>
                      </a:grpSp>
                      <a:sp>
                        <a:nvSpPr>
                          <a:cNvPr id="2099" name="Text Box 51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490" y="3052"/>
                            <a:ext cx="1016" cy="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 wrap="none">
                              <a:spAutoFit/>
                            </a:bodyPr>
                            <a:lstStyle>
                              <a:defPPr>
                                <a:defRPr lang="fr-FR"/>
                              </a:defPPr>
                              <a:lvl1pPr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eaLnBrk="0" fontAlgn="base" hangingPunct="0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3200" kern="1200">
                                  <a:solidFill>
                                    <a:schemeClr val="tx1"/>
                                  </a:solidFill>
                                  <a:effectLst>
                                    <a:outerShdw blurRad="38100" dist="38100" dir="2700000" algn="tl">
                                      <a:srgbClr val="000000">
                                        <a:alpha val="43137"/>
                                      </a:srgbClr>
                                    </a:outerShdw>
                                  </a:effectLst>
                                  <a:latin typeface="Times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/>
                              <a:r>
                                <a:rPr lang="fr-FR" sz="1800" b="1">
                                  <a:solidFill>
                                    <a:schemeClr val="accent2"/>
                                  </a:solidFill>
                                  <a:effectLst/>
                                </a:rPr>
                                <a:t>Lymphocyte B</a:t>
                              </a:r>
                            </a:p>
                            <a:p>
                              <a:pPr algn="ctr"/>
                              <a:r>
                                <a:rPr lang="fr-FR" sz="1800" b="1">
                                  <a:solidFill>
                                    <a:schemeClr val="accent2"/>
                                  </a:solidFill>
                                  <a:effectLst/>
                                </a:rPr>
                                <a:t>mémoire</a:t>
                              </a:r>
                              <a:endParaRPr lang="fr-FR" sz="2400" b="1">
                                <a:effectLst/>
                              </a:endParaRPr>
                            </a:p>
                          </a:txBody>
                          <a:useSpRect/>
                        </a:txSp>
                      </a:sp>
                    </a:grpSp>
                  </a:grpSp>
                </lc:lockedCanvas>
              </a:graphicData>
            </a:graphic>
          </wp:anchor>
        </w:drawing>
      </w:r>
      <w:proofErr w:type="spellStart"/>
      <w:r w:rsidR="00D43C61">
        <w:t>Ig</w:t>
      </w:r>
      <w:proofErr w:type="spellEnd"/>
      <w:r w:rsidR="00D43C61">
        <w:t xml:space="preserve"> st retrouvés : sous forme soluble </w:t>
      </w:r>
      <w:proofErr w:type="spellStart"/>
      <w:r w:rsidR="00D43C61">
        <w:t>ds</w:t>
      </w:r>
      <w:proofErr w:type="spellEnd"/>
      <w:r w:rsidR="00D43C61">
        <w:t xml:space="preserve"> différentes sécrétions</w:t>
      </w:r>
    </w:p>
    <w:p w:rsidR="00D43C61" w:rsidRDefault="00D43C61" w:rsidP="00871AC6">
      <w:pPr>
        <w:spacing w:after="0" w:line="240" w:lineRule="auto"/>
      </w:pPr>
      <w:r>
        <w:tab/>
      </w:r>
      <w:r>
        <w:tab/>
        <w:t xml:space="preserve"> </w:t>
      </w:r>
      <w:proofErr w:type="gramStart"/>
      <w:r>
        <w:t>sous</w:t>
      </w:r>
      <w:proofErr w:type="gramEnd"/>
      <w:r>
        <w:t xml:space="preserve"> forme membranaire à la surface des LB</w:t>
      </w:r>
    </w:p>
    <w:p w:rsidR="00D43C61" w:rsidRDefault="00D43C61" w:rsidP="00871AC6">
      <w:pPr>
        <w:spacing w:after="0" w:line="240" w:lineRule="auto"/>
      </w:pPr>
    </w:p>
    <w:p w:rsidR="00D43C61" w:rsidRDefault="00D43C61" w:rsidP="00871AC6">
      <w:pPr>
        <w:spacing w:after="0" w:line="240" w:lineRule="auto"/>
      </w:pPr>
      <w:r>
        <w:t>STRUCTURE :</w:t>
      </w:r>
    </w:p>
    <w:p w:rsidR="00D43C61" w:rsidRDefault="00D43C61" w:rsidP="00871AC6">
      <w:pPr>
        <w:spacing w:after="0" w:line="240" w:lineRule="auto"/>
      </w:pPr>
      <w:proofErr w:type="spellStart"/>
      <w:r>
        <w:t>Ig</w:t>
      </w:r>
      <w:proofErr w:type="spellEnd"/>
      <w:r>
        <w:t xml:space="preserve"> = famille de molécules caractérisées par un domaine particulier : la fonction </w:t>
      </w:r>
      <w:proofErr w:type="spellStart"/>
      <w:r>
        <w:t>Ac</w:t>
      </w:r>
      <w:proofErr w:type="spellEnd"/>
    </w:p>
    <w:p w:rsidR="003635A4" w:rsidRPr="0060133A" w:rsidRDefault="003635A4" w:rsidP="00871AC6">
      <w:pPr>
        <w:spacing w:after="0" w:line="240" w:lineRule="auto"/>
        <w:rPr>
          <w:b/>
          <w:u w:val="single"/>
        </w:rPr>
      </w:pPr>
      <w:r>
        <w:tab/>
      </w:r>
      <w:proofErr w:type="gramStart"/>
      <w:r w:rsidRPr="0060133A">
        <w:rPr>
          <w:b/>
          <w:u w:val="single"/>
        </w:rPr>
        <w:t>structure</w:t>
      </w:r>
      <w:proofErr w:type="gramEnd"/>
      <w:r w:rsidRPr="0060133A">
        <w:rPr>
          <w:b/>
          <w:u w:val="single"/>
        </w:rPr>
        <w:t xml:space="preserve"> de base=commune</w:t>
      </w:r>
    </w:p>
    <w:p w:rsidR="003635A4" w:rsidRDefault="003635A4" w:rsidP="00871AC6">
      <w:pPr>
        <w:spacing w:after="0" w:line="240" w:lineRule="auto"/>
      </w:pPr>
      <w:r>
        <w:t>4 chaines polypeptidiques : 2 lourdes identiques (</w:t>
      </w:r>
      <w:proofErr w:type="spellStart"/>
      <w:r>
        <w:t>α</w:t>
      </w:r>
      <w:proofErr w:type="gramStart"/>
      <w:r>
        <w:t>,γ,δ,ε,μ</w:t>
      </w:r>
      <w:proofErr w:type="spellEnd"/>
      <w:proofErr w:type="gramEnd"/>
      <w:r>
        <w:t>)</w:t>
      </w:r>
    </w:p>
    <w:p w:rsidR="003635A4" w:rsidRDefault="003635A4" w:rsidP="00871AC6">
      <w:pPr>
        <w:spacing w:after="0" w:line="240" w:lineRule="auto"/>
      </w:pPr>
      <w:r>
        <w:tab/>
      </w:r>
      <w:r>
        <w:tab/>
      </w:r>
      <w:r>
        <w:tab/>
        <w:t xml:space="preserve">       2 légères identiques (κ ou λ)</w:t>
      </w:r>
    </w:p>
    <w:p w:rsidR="003635A4" w:rsidRDefault="003635A4" w:rsidP="00871AC6">
      <w:pPr>
        <w:spacing w:after="0" w:line="240" w:lineRule="auto"/>
      </w:pPr>
      <w:r>
        <w:t xml:space="preserve">Les chaines st associées par ponts </w:t>
      </w:r>
      <w:proofErr w:type="spellStart"/>
      <w:r>
        <w:t>dissulfures</w:t>
      </w:r>
      <w:proofErr w:type="spellEnd"/>
    </w:p>
    <w:p w:rsidR="003635A4" w:rsidRDefault="003635A4" w:rsidP="00871AC6">
      <w:pPr>
        <w:spacing w:after="0" w:line="240" w:lineRule="auto"/>
      </w:pPr>
    </w:p>
    <w:p w:rsidR="003635A4" w:rsidRDefault="003635A4" w:rsidP="00871AC6">
      <w:pPr>
        <w:spacing w:after="0" w:line="240" w:lineRule="auto"/>
      </w:pPr>
      <w:r w:rsidRPr="003635A4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3810</wp:posOffset>
            </wp:positionV>
            <wp:extent cx="3048000" cy="1800225"/>
            <wp:effectExtent l="19050" t="0" r="0" b="0"/>
            <wp:wrapSquare wrapText="bothSides"/>
            <wp:docPr id="2" name="Obje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915400" cy="5500687"/>
                      <a:chOff x="152400" y="595313"/>
                      <a:chExt cx="8915400" cy="5500687"/>
                    </a:xfrm>
                  </a:grpSpPr>
                  <a:pic>
                    <a:nvPicPr>
                      <a:cNvPr id="144386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7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893763" y="595313"/>
                        <a:ext cx="7202487" cy="520858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a:spPr>
                  </a:pic>
                  <a:sp>
                    <a:nvSpPr>
                      <a:cNvPr id="144389" name="Rectangle 5"/>
                      <a:cNvSpPr>
                        <a:spLocks noChangeArrowheads="1"/>
                      </a:cNvSpPr>
                    </a:nvSpPr>
                    <a:spPr bwMode="auto">
                      <a:xfrm>
                        <a:off x="152400" y="2133600"/>
                        <a:ext cx="2438400" cy="10668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 sz="2400" b="1" dirty="0">
                              <a:solidFill>
                                <a:srgbClr val="FF0206"/>
                              </a:solidFill>
                              <a:effectLst/>
                            </a:rPr>
                            <a:t>Reconnaissance</a:t>
                          </a:r>
                        </a:p>
                        <a:p>
                          <a:pPr algn="ctr"/>
                          <a:r>
                            <a:rPr lang="fr-FR" sz="2400" b="1" dirty="0">
                              <a:solidFill>
                                <a:srgbClr val="FF0206"/>
                              </a:solidFill>
                              <a:effectLst/>
                            </a:rPr>
                            <a:t> de l’Ag</a:t>
                          </a:r>
                          <a:endParaRPr lang="fr-FR" sz="2400" b="1" dirty="0">
                            <a:effectLst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44390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228600" y="4495800"/>
                        <a:ext cx="2819400" cy="10668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fr-FR" sz="2400" b="1">
                              <a:solidFill>
                                <a:srgbClr val="FF0206"/>
                              </a:solidFill>
                              <a:effectLst/>
                            </a:rPr>
                            <a:t>Fonctions effectrices</a:t>
                          </a:r>
                          <a:endParaRPr lang="fr-FR" sz="2400" b="1">
                            <a:effectLst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44391" name="Rectangle 7"/>
                      <a:cNvSpPr>
                        <a:spLocks noChangeArrowheads="1"/>
                      </a:cNvSpPr>
                    </a:nvSpPr>
                    <a:spPr bwMode="auto">
                      <a:xfrm>
                        <a:off x="4800600" y="4114800"/>
                        <a:ext cx="4267200" cy="198120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effectLst>
                                <a:outerShdw blurRad="38100" dist="38100" dir="2700000" algn="tl">
                                  <a:srgbClr val="000000">
                                    <a:alpha val="43137"/>
                                  </a:srgbClr>
                                </a:outerShdw>
                              </a:effectLst>
                              <a:latin typeface="Times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just"/>
                          <a:r>
                            <a:rPr lang="fr-FR" sz="2400" b="1">
                              <a:solidFill>
                                <a:srgbClr val="0E14BA"/>
                              </a:solidFill>
                              <a:effectLst/>
                            </a:rPr>
                            <a:t>Fixation aux récepteurs du Fc</a:t>
                          </a:r>
                        </a:p>
                        <a:p>
                          <a:pPr algn="just"/>
                          <a:r>
                            <a:rPr lang="fr-FR" sz="2400" b="1">
                              <a:solidFill>
                                <a:srgbClr val="0E14BA"/>
                              </a:solidFill>
                              <a:effectLst/>
                            </a:rPr>
                            <a:t>Activation du complément</a:t>
                          </a:r>
                        </a:p>
                        <a:p>
                          <a:pPr algn="just"/>
                          <a:r>
                            <a:rPr lang="fr-FR" sz="2400" b="1">
                              <a:solidFill>
                                <a:srgbClr val="0E14BA"/>
                              </a:solidFill>
                              <a:effectLst/>
                            </a:rPr>
                            <a:t>Traversée du placenta</a:t>
                          </a:r>
                        </a:p>
                        <a:p>
                          <a:pPr algn="just"/>
                          <a:r>
                            <a:rPr lang="fr-FR" sz="2400" b="1">
                              <a:solidFill>
                                <a:srgbClr val="0E14BA"/>
                              </a:solidFill>
                              <a:effectLst/>
                            </a:rPr>
                            <a:t>Catabolisme</a:t>
                          </a: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  <w:r w:rsidR="00E36D91">
        <w:t>Molécule dipolaire avec forme en Y :</w:t>
      </w:r>
    </w:p>
    <w:p w:rsidR="00EC093E" w:rsidRDefault="00EC093E" w:rsidP="00871AC6">
      <w:pPr>
        <w:spacing w:after="0" w:line="240" w:lineRule="auto"/>
      </w:pPr>
    </w:p>
    <w:p w:rsidR="00E36D91" w:rsidRDefault="00E36D91" w:rsidP="00871AC6">
      <w:pPr>
        <w:spacing w:after="0" w:line="240" w:lineRule="auto"/>
      </w:pPr>
      <w:r>
        <w:t xml:space="preserve">Pôle très conservé = supporte les </w:t>
      </w:r>
      <w:proofErr w:type="spellStart"/>
      <w:r>
        <w:t>fct</w:t>
      </w:r>
      <w:proofErr w:type="spellEnd"/>
      <w:r>
        <w:t xml:space="preserve">° effectrices </w:t>
      </w:r>
    </w:p>
    <w:p w:rsidR="00E36D91" w:rsidRDefault="00E36D91" w:rsidP="00871AC6">
      <w:pPr>
        <w:spacing w:after="0" w:line="240" w:lineRule="auto"/>
      </w:pPr>
      <w:r>
        <w:tab/>
        <w:t>-&gt;</w:t>
      </w:r>
      <w:proofErr w:type="spellStart"/>
      <w:r>
        <w:t>assoc</w:t>
      </w:r>
      <w:proofErr w:type="spellEnd"/>
      <w:r>
        <w:t xml:space="preserve"> de la partie </w:t>
      </w:r>
      <w:proofErr w:type="spellStart"/>
      <w:r>
        <w:t>inf</w:t>
      </w:r>
      <w:proofErr w:type="spellEnd"/>
      <w:r>
        <w:t xml:space="preserve"> des chaines lourdes</w:t>
      </w:r>
    </w:p>
    <w:p w:rsidR="00E36D91" w:rsidRDefault="00E36D91" w:rsidP="00871AC6">
      <w:pPr>
        <w:spacing w:after="0" w:line="240" w:lineRule="auto"/>
      </w:pPr>
      <w:r>
        <w:t xml:space="preserve">Pôle de reconnaissance de l’Ag = supporte la variabilité des </w:t>
      </w:r>
      <w:proofErr w:type="spellStart"/>
      <w:r>
        <w:t>Ac</w:t>
      </w:r>
      <w:proofErr w:type="spellEnd"/>
    </w:p>
    <w:p w:rsidR="00E36D91" w:rsidRDefault="00E36D91" w:rsidP="00871AC6">
      <w:pPr>
        <w:spacing w:after="0" w:line="240" w:lineRule="auto"/>
      </w:pPr>
      <w:r>
        <w:tab/>
        <w:t>-&gt;</w:t>
      </w:r>
      <w:proofErr w:type="spellStart"/>
      <w:r>
        <w:t>assoc</w:t>
      </w:r>
      <w:proofErr w:type="spellEnd"/>
      <w:r>
        <w:t xml:space="preserve">  entre chaines lourdes et légères</w:t>
      </w:r>
    </w:p>
    <w:p w:rsidR="00EC093E" w:rsidRDefault="00EC093E" w:rsidP="00871AC6">
      <w:pPr>
        <w:spacing w:after="0" w:line="240" w:lineRule="auto"/>
      </w:pPr>
    </w:p>
    <w:p w:rsidR="00E36D91" w:rsidRDefault="00E36D91" w:rsidP="00871AC6">
      <w:pPr>
        <w:spacing w:after="0" w:line="240" w:lineRule="auto"/>
      </w:pPr>
      <w:r>
        <w:t xml:space="preserve">On peut physiquement séparer les 2 pôles avec des enzymes </w:t>
      </w:r>
      <w:proofErr w:type="spellStart"/>
      <w:r>
        <w:t>ds</w:t>
      </w:r>
      <w:proofErr w:type="spellEnd"/>
      <w:r>
        <w:t xml:space="preserve"> 1 but </w:t>
      </w:r>
      <w:proofErr w:type="spellStart"/>
      <w:r>
        <w:t>diag</w:t>
      </w:r>
      <w:proofErr w:type="spellEnd"/>
      <w:r>
        <w:t xml:space="preserve"> ou </w:t>
      </w:r>
      <w:proofErr w:type="spellStart"/>
      <w:r>
        <w:t>théra</w:t>
      </w:r>
      <w:proofErr w:type="spellEnd"/>
      <w:r>
        <w:t> (papaïne, pepsine</w:t>
      </w:r>
      <w:r w:rsidR="0060133A">
        <w:t>)</w:t>
      </w:r>
    </w:p>
    <w:p w:rsidR="00E36D91" w:rsidRDefault="00E36D91" w:rsidP="00871AC6">
      <w:pPr>
        <w:spacing w:after="0" w:line="240" w:lineRule="auto"/>
      </w:pPr>
    </w:p>
    <w:p w:rsidR="00E36D91" w:rsidRDefault="00E36D91" w:rsidP="00871AC6">
      <w:pPr>
        <w:spacing w:after="0" w:line="240" w:lineRule="auto"/>
      </w:pPr>
    </w:p>
    <w:p w:rsidR="00E36D91" w:rsidRDefault="00E36D91" w:rsidP="00871AC6">
      <w:pPr>
        <w:spacing w:after="0" w:line="240" w:lineRule="auto"/>
      </w:pPr>
      <w:r w:rsidRPr="00E36D91"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4445</wp:posOffset>
            </wp:positionV>
            <wp:extent cx="1876425" cy="1323975"/>
            <wp:effectExtent l="19050" t="0" r="9525" b="0"/>
            <wp:wrapSquare wrapText="bothSides"/>
            <wp:docPr id="3" name="Image 3" descr="F04-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491" name="Picture 1027" descr="F04-0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0133A">
        <w:t>Représentation d’une électrophorèse des protéines sériques</w:t>
      </w:r>
    </w:p>
    <w:p w:rsidR="0060133A" w:rsidRDefault="0060133A" w:rsidP="00871AC6">
      <w:pPr>
        <w:spacing w:after="0" w:line="240" w:lineRule="auto"/>
      </w:pPr>
      <w:r>
        <w:t>(</w:t>
      </w:r>
      <w:proofErr w:type="spellStart"/>
      <w:proofErr w:type="gramStart"/>
      <w:r>
        <w:t>pr</w:t>
      </w:r>
      <w:proofErr w:type="spellEnd"/>
      <w:proofErr w:type="gramEnd"/>
      <w:r>
        <w:t xml:space="preserve"> séparer les molécules en </w:t>
      </w:r>
      <w:proofErr w:type="spellStart"/>
      <w:r>
        <w:t>fct</w:t>
      </w:r>
      <w:proofErr w:type="spellEnd"/>
      <w:r>
        <w:t>° de leur charge)</w:t>
      </w:r>
    </w:p>
    <w:p w:rsidR="0060133A" w:rsidRDefault="0060133A" w:rsidP="00871AC6">
      <w:pPr>
        <w:spacing w:after="0" w:line="240" w:lineRule="auto"/>
      </w:pPr>
      <w:proofErr w:type="spellStart"/>
      <w:r>
        <w:t>Ac</w:t>
      </w:r>
      <w:proofErr w:type="spellEnd"/>
      <w:r>
        <w:t xml:space="preserve"> v</w:t>
      </w:r>
      <w:r w:rsidR="00EC093E">
        <w:t>on</w:t>
      </w:r>
      <w:r>
        <w:t>t migrer d</w:t>
      </w:r>
      <w:r w:rsidR="00EC093E">
        <w:t>an</w:t>
      </w:r>
      <w:r>
        <w:t xml:space="preserve">s la zone des γ-globulines = zone de migration étendue traduisant la diversité structurale des </w:t>
      </w:r>
      <w:proofErr w:type="spellStart"/>
      <w:r>
        <w:t>Ig</w:t>
      </w:r>
      <w:proofErr w:type="spellEnd"/>
    </w:p>
    <w:p w:rsidR="0060133A" w:rsidRDefault="0060133A" w:rsidP="00871AC6">
      <w:pPr>
        <w:spacing w:after="0" w:line="240" w:lineRule="auto"/>
      </w:pPr>
    </w:p>
    <w:p w:rsidR="0060133A" w:rsidRDefault="0060133A" w:rsidP="00871AC6">
      <w:pPr>
        <w:spacing w:after="0" w:line="240" w:lineRule="auto"/>
        <w:rPr>
          <w:b/>
          <w:u w:val="single"/>
        </w:rPr>
      </w:pPr>
      <w:r>
        <w:tab/>
      </w:r>
      <w:r>
        <w:tab/>
      </w:r>
      <w:r>
        <w:tab/>
      </w:r>
      <w:r>
        <w:tab/>
      </w:r>
      <w:proofErr w:type="gramStart"/>
      <w:r>
        <w:rPr>
          <w:b/>
          <w:u w:val="single"/>
        </w:rPr>
        <w:t>structure</w:t>
      </w:r>
      <w:proofErr w:type="gramEnd"/>
      <w:r>
        <w:rPr>
          <w:b/>
          <w:u w:val="single"/>
        </w:rPr>
        <w:t xml:space="preserve"> de la région variable =site </w:t>
      </w:r>
      <w:proofErr w:type="spellStart"/>
      <w:r>
        <w:rPr>
          <w:b/>
          <w:u w:val="single"/>
        </w:rPr>
        <w:t>Ac</w:t>
      </w:r>
      <w:proofErr w:type="spellEnd"/>
    </w:p>
    <w:p w:rsidR="0060133A" w:rsidRDefault="0060133A" w:rsidP="00871AC6">
      <w:pPr>
        <w:spacing w:after="0" w:line="240" w:lineRule="auto"/>
      </w:pPr>
      <w:proofErr w:type="gramStart"/>
      <w:r>
        <w:t>régions</w:t>
      </w:r>
      <w:proofErr w:type="gramEnd"/>
      <w:r>
        <w:t xml:space="preserve"> hypervariables = HVR ou CDR</w:t>
      </w:r>
      <w:r w:rsidR="00995A2D">
        <w:t xml:space="preserve"> st au  bout des bras de l’</w:t>
      </w:r>
      <w:proofErr w:type="spellStart"/>
      <w:r w:rsidR="00EC093E">
        <w:t>Ig</w:t>
      </w:r>
      <w:proofErr w:type="spellEnd"/>
      <w:r w:rsidR="00995A2D">
        <w:t xml:space="preserve"> = position de capture de l’Ag = support de la reconnaissance antigénique</w:t>
      </w:r>
    </w:p>
    <w:p w:rsidR="00995A2D" w:rsidRDefault="00995A2D" w:rsidP="00871AC6">
      <w:pPr>
        <w:spacing w:after="0" w:line="240" w:lineRule="auto"/>
      </w:pPr>
    </w:p>
    <w:p w:rsidR="00995A2D" w:rsidRDefault="00995A2D" w:rsidP="00871AC6">
      <w:pPr>
        <w:spacing w:after="0" w:line="240" w:lineRule="auto"/>
      </w:pPr>
      <w:r>
        <w:t xml:space="preserve">La variabilité des </w:t>
      </w:r>
      <w:proofErr w:type="spellStart"/>
      <w:r>
        <w:t>Ac</w:t>
      </w:r>
      <w:proofErr w:type="spellEnd"/>
      <w:r>
        <w:t> :</w:t>
      </w:r>
    </w:p>
    <w:p w:rsidR="00995A2D" w:rsidRDefault="00995A2D" w:rsidP="00995A2D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variabilité non liée à la </w:t>
      </w:r>
      <w:proofErr w:type="spellStart"/>
      <w:r>
        <w:t>fct</w:t>
      </w:r>
      <w:proofErr w:type="spellEnd"/>
      <w:r>
        <w:t xml:space="preserve">° de reconnaissance des Ag, qu’on retrouve chez </w:t>
      </w:r>
      <w:proofErr w:type="spellStart"/>
      <w:r>
        <w:t>ts</w:t>
      </w:r>
      <w:proofErr w:type="spellEnd"/>
      <w:r>
        <w:t xml:space="preserve"> les individus</w:t>
      </w:r>
    </w:p>
    <w:p w:rsidR="00995A2D" w:rsidRDefault="00995A2D" w:rsidP="00995A2D">
      <w:pPr>
        <w:spacing w:after="0" w:line="240" w:lineRule="auto"/>
      </w:pPr>
      <w:r>
        <w:t xml:space="preserve">Les </w:t>
      </w:r>
      <w:proofErr w:type="spellStart"/>
      <w:r>
        <w:t>isotypes</w:t>
      </w:r>
      <w:proofErr w:type="spellEnd"/>
      <w:r>
        <w:t xml:space="preserve"> = association de 2 chaines lourdes et 2 chaines légères</w:t>
      </w:r>
    </w:p>
    <w:p w:rsidR="00995A2D" w:rsidRDefault="00995A2D" w:rsidP="00995A2D">
      <w:pPr>
        <w:spacing w:after="0" w:line="240" w:lineRule="auto"/>
      </w:pPr>
      <w:proofErr w:type="gramStart"/>
      <w:r>
        <w:t>comme</w:t>
      </w:r>
      <w:proofErr w:type="gramEnd"/>
      <w:r>
        <w:t xml:space="preserve"> on a 5 types de chaines lourdes et 2 types de chaines légères : on a </w:t>
      </w:r>
      <w:proofErr w:type="spellStart"/>
      <w:r>
        <w:t>pls</w:t>
      </w:r>
      <w:proofErr w:type="spellEnd"/>
      <w:r>
        <w:t xml:space="preserve"> </w:t>
      </w:r>
      <w:proofErr w:type="spellStart"/>
      <w:r>
        <w:t>isotypes</w:t>
      </w:r>
      <w:proofErr w:type="spellEnd"/>
    </w:p>
    <w:p w:rsidR="00995A2D" w:rsidRDefault="00995A2D" w:rsidP="00995A2D">
      <w:pPr>
        <w:spacing w:after="0" w:line="240" w:lineRule="auto"/>
      </w:pPr>
      <w:r>
        <w:t xml:space="preserve">Les </w:t>
      </w:r>
      <w:proofErr w:type="spellStart"/>
      <w:r>
        <w:t>allotypes</w:t>
      </w:r>
      <w:proofErr w:type="spellEnd"/>
      <w:r>
        <w:t> : permettent de relier un trait à un certain groupe</w:t>
      </w:r>
    </w:p>
    <w:p w:rsidR="00995A2D" w:rsidRDefault="00995A2D" w:rsidP="00995A2D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variabilité directement liée à la reconnaissance des Ag, on retrouve des spécificités </w:t>
      </w:r>
      <w:r w:rsidR="00003482">
        <w:t xml:space="preserve"> </w:t>
      </w:r>
      <w:r>
        <w:t>≠</w:t>
      </w:r>
      <w:r w:rsidR="00003482">
        <w:t xml:space="preserve"> d’un individu à l’autre</w:t>
      </w:r>
    </w:p>
    <w:p w:rsidR="00003482" w:rsidRDefault="00003482" w:rsidP="00003482">
      <w:pPr>
        <w:spacing w:after="0" w:line="240" w:lineRule="auto"/>
      </w:pPr>
      <w:r>
        <w:t>Les idiotypes = variation qui détermine la spécificité de l’Ag</w:t>
      </w:r>
    </w:p>
    <w:p w:rsidR="00003482" w:rsidRDefault="00003482" w:rsidP="00003482">
      <w:pPr>
        <w:spacing w:after="0" w:line="240" w:lineRule="auto"/>
      </w:pPr>
    </w:p>
    <w:p w:rsidR="00003482" w:rsidRDefault="00003482" w:rsidP="00003482">
      <w:pPr>
        <w:spacing w:after="0" w:line="240" w:lineRule="auto"/>
        <w:rPr>
          <w:b/>
          <w:u w:val="single"/>
        </w:rPr>
      </w:pPr>
      <w:r w:rsidRPr="00003482">
        <w:rPr>
          <w:b/>
          <w:u w:val="single"/>
        </w:rPr>
        <w:t>LES DIFFERENTS ISOTYPES D’</w:t>
      </w:r>
      <w:proofErr w:type="spellStart"/>
      <w:r w:rsidRPr="00003482">
        <w:rPr>
          <w:b/>
          <w:u w:val="single"/>
        </w:rPr>
        <w:t>Ig</w:t>
      </w:r>
      <w:proofErr w:type="spellEnd"/>
    </w:p>
    <w:p w:rsidR="00003482" w:rsidRDefault="00003482" w:rsidP="00003482">
      <w:pPr>
        <w:pStyle w:val="Paragraphedeliste"/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t>Ig</w:t>
      </w:r>
      <w:proofErr w:type="spellEnd"/>
      <w:r>
        <w:rPr>
          <w:b/>
        </w:rPr>
        <w:t xml:space="preserve"> G</w:t>
      </w:r>
      <w:r>
        <w:tab/>
      </w:r>
      <w:proofErr w:type="gramStart"/>
      <w:r>
        <w:t>( γ₂,κ₂</w:t>
      </w:r>
      <w:proofErr w:type="gramEnd"/>
      <w:r>
        <w:t xml:space="preserve">  ou  γ₂,λ₂)</w:t>
      </w:r>
    </w:p>
    <w:p w:rsidR="00003482" w:rsidRDefault="00003482" w:rsidP="00003482">
      <w:pPr>
        <w:spacing w:after="0" w:line="240" w:lineRule="auto"/>
      </w:pPr>
      <w:proofErr w:type="gramStart"/>
      <w:r>
        <w:t>majoritaires</w:t>
      </w:r>
      <w:proofErr w:type="gramEnd"/>
      <w:r>
        <w:t xml:space="preserve"> d</w:t>
      </w:r>
      <w:r w:rsidR="00EC093E">
        <w:t>an</w:t>
      </w:r>
      <w:r>
        <w:t>s le sérum,  st intra et extravasculaires (muqueuses, péritoine)</w:t>
      </w:r>
    </w:p>
    <w:p w:rsidR="00003482" w:rsidRDefault="00003482" w:rsidP="00003482">
      <w:pPr>
        <w:spacing w:after="0" w:line="240" w:lineRule="auto"/>
      </w:pPr>
      <w:proofErr w:type="gramStart"/>
      <w:r>
        <w:t>st</w:t>
      </w:r>
      <w:proofErr w:type="gramEnd"/>
      <w:r>
        <w:t xml:space="preserve"> sécrétées après activation de la cellule par Ag et sécrétion d’</w:t>
      </w:r>
      <w:proofErr w:type="spellStart"/>
      <w:r>
        <w:t>Ig</w:t>
      </w:r>
      <w:proofErr w:type="spellEnd"/>
      <w:r>
        <w:t xml:space="preserve"> M</w:t>
      </w:r>
    </w:p>
    <w:p w:rsidR="00A417E5" w:rsidRDefault="00A417E5" w:rsidP="00003482">
      <w:pPr>
        <w:spacing w:after="0" w:line="240" w:lineRule="auto"/>
      </w:pPr>
      <w:proofErr w:type="gramStart"/>
      <w:r>
        <w:t>se</w:t>
      </w:r>
      <w:proofErr w:type="gramEnd"/>
      <w:r>
        <w:t xml:space="preserve"> fixent sur fragment </w:t>
      </w:r>
      <w:proofErr w:type="spellStart"/>
      <w:r>
        <w:t>Fc</w:t>
      </w:r>
      <w:proofErr w:type="spellEnd"/>
      <w:r>
        <w:t xml:space="preserve"> à la surface des cellules et activent la voie du complément</w:t>
      </w:r>
    </w:p>
    <w:p w:rsidR="00A417E5" w:rsidRDefault="00A417E5" w:rsidP="00003482">
      <w:pPr>
        <w:spacing w:after="0" w:line="240" w:lineRule="auto"/>
      </w:pPr>
      <w:proofErr w:type="gramStart"/>
      <w:r>
        <w:t>les</w:t>
      </w:r>
      <w:proofErr w:type="gramEnd"/>
      <w:r>
        <w:t xml:space="preserve"> seules capables de franchir le placenta</w:t>
      </w:r>
    </w:p>
    <w:p w:rsidR="00A417E5" w:rsidRDefault="00A417E5" w:rsidP="00A417E5">
      <w:pPr>
        <w:pStyle w:val="Paragraphedeliste"/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t>Ig</w:t>
      </w:r>
      <w:proofErr w:type="spellEnd"/>
      <w:r>
        <w:rPr>
          <w:b/>
        </w:rPr>
        <w:t xml:space="preserve"> M</w:t>
      </w:r>
      <w:r>
        <w:tab/>
        <w:t>(μ₂</w:t>
      </w:r>
      <w:proofErr w:type="gramStart"/>
      <w:r>
        <w:t>,κ₂</w:t>
      </w:r>
      <w:proofErr w:type="gramEnd"/>
      <w:r>
        <w:t xml:space="preserve"> ou μ₂,λ₂)</w:t>
      </w:r>
    </w:p>
    <w:p w:rsidR="00A417E5" w:rsidRDefault="00A417E5" w:rsidP="00A417E5">
      <w:pPr>
        <w:spacing w:after="0" w:line="240" w:lineRule="auto"/>
      </w:pPr>
    </w:p>
    <w:p w:rsidR="00A417E5" w:rsidRDefault="00A417E5" w:rsidP="00A417E5">
      <w:pPr>
        <w:spacing w:after="0" w:line="240" w:lineRule="auto"/>
      </w:pPr>
      <w:r w:rsidRPr="00A417E5"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-1905</wp:posOffset>
            </wp:positionV>
            <wp:extent cx="1533525" cy="847725"/>
            <wp:effectExtent l="19050" t="0" r="9525" b="0"/>
            <wp:wrapSquare wrapText="bothSides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2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t>forme</w:t>
      </w:r>
      <w:proofErr w:type="gramEnd"/>
      <w:r>
        <w:t xml:space="preserve"> </w:t>
      </w:r>
      <w:proofErr w:type="spellStart"/>
      <w:r>
        <w:t>pentamérique</w:t>
      </w:r>
      <w:proofErr w:type="spellEnd"/>
      <w:r>
        <w:t xml:space="preserve"> -&gt; agglutination +++</w:t>
      </w:r>
      <w:r w:rsidR="00F54956">
        <w:t xml:space="preserve">   (</w:t>
      </w:r>
      <w:proofErr w:type="spellStart"/>
      <w:r w:rsidR="00F54956">
        <w:t>pck</w:t>
      </w:r>
      <w:proofErr w:type="spellEnd"/>
      <w:r w:rsidR="00F54956">
        <w:t xml:space="preserve"> 10 sites </w:t>
      </w:r>
      <w:proofErr w:type="spellStart"/>
      <w:r w:rsidR="00F54956">
        <w:t>Ac</w:t>
      </w:r>
      <w:proofErr w:type="spellEnd"/>
      <w:r w:rsidR="00F54956">
        <w:t>)</w:t>
      </w:r>
    </w:p>
    <w:p w:rsidR="00A417E5" w:rsidRDefault="00A417E5" w:rsidP="00A417E5">
      <w:pPr>
        <w:spacing w:after="0" w:line="240" w:lineRule="auto"/>
      </w:pPr>
      <w:r>
        <w:t>5 SU constituée chacune de 2 chaines lourdes et 2 chaines légères : les 10 lourdes st identiques et les 10 légères aussi.</w:t>
      </w:r>
    </w:p>
    <w:p w:rsidR="00A417E5" w:rsidRDefault="00A417E5" w:rsidP="00A417E5">
      <w:pPr>
        <w:spacing w:after="0" w:line="240" w:lineRule="auto"/>
      </w:pPr>
      <w:r>
        <w:lastRenderedPageBreak/>
        <w:t>SU st associées par la chaine J (</w:t>
      </w:r>
      <w:r w:rsidR="00F54956">
        <w:t>pas sécrétée par LB)</w:t>
      </w:r>
    </w:p>
    <w:p w:rsidR="00F54956" w:rsidRDefault="00F54956" w:rsidP="00A417E5">
      <w:pPr>
        <w:spacing w:after="0" w:line="240" w:lineRule="auto"/>
      </w:pPr>
      <w:r>
        <w:t xml:space="preserve">5 </w:t>
      </w:r>
      <w:proofErr w:type="gramStart"/>
      <w:r>
        <w:t>fragment</w:t>
      </w:r>
      <w:proofErr w:type="gramEnd"/>
      <w:r>
        <w:t xml:space="preserve"> </w:t>
      </w:r>
      <w:proofErr w:type="spellStart"/>
      <w:r>
        <w:t>Fc</w:t>
      </w:r>
      <w:proofErr w:type="spellEnd"/>
      <w:r>
        <w:t xml:space="preserve"> où </w:t>
      </w:r>
      <w:proofErr w:type="spellStart"/>
      <w:r>
        <w:t>vt</w:t>
      </w:r>
      <w:proofErr w:type="spellEnd"/>
      <w:r>
        <w:t xml:space="preserve"> se fixer les compléments </w:t>
      </w:r>
    </w:p>
    <w:p w:rsidR="00F54956" w:rsidRDefault="00F54956" w:rsidP="00A417E5">
      <w:pPr>
        <w:spacing w:after="0" w:line="240" w:lineRule="auto"/>
      </w:pPr>
      <w:proofErr w:type="gramStart"/>
      <w:r>
        <w:t>retrouvé</w:t>
      </w:r>
      <w:proofErr w:type="gramEnd"/>
      <w:r>
        <w:t xml:space="preserve"> </w:t>
      </w:r>
      <w:proofErr w:type="spellStart"/>
      <w:r>
        <w:t>ds</w:t>
      </w:r>
      <w:proofErr w:type="spellEnd"/>
      <w:r>
        <w:t xml:space="preserve"> compartiment </w:t>
      </w:r>
      <w:proofErr w:type="spellStart"/>
      <w:r>
        <w:t>vascu</w:t>
      </w:r>
      <w:proofErr w:type="spellEnd"/>
      <w:r>
        <w:t xml:space="preserve"> (car grosse molécule)</w:t>
      </w:r>
    </w:p>
    <w:p w:rsidR="008A63A0" w:rsidRDefault="008A63A0" w:rsidP="00A417E5">
      <w:pPr>
        <w:spacing w:after="0" w:line="240" w:lineRule="auto"/>
      </w:pPr>
      <w:proofErr w:type="gramStart"/>
      <w:r>
        <w:t>sécrétés</w:t>
      </w:r>
      <w:proofErr w:type="gramEnd"/>
      <w:r>
        <w:t xml:space="preserve"> en 1st par le fœtus et lors d’une </w:t>
      </w:r>
      <w:proofErr w:type="spellStart"/>
      <w:r>
        <w:t>rép</w:t>
      </w:r>
      <w:proofErr w:type="spellEnd"/>
      <w:r>
        <w:t xml:space="preserve"> immune (</w:t>
      </w:r>
      <w:proofErr w:type="spellStart"/>
      <w:r>
        <w:t>rép</w:t>
      </w:r>
      <w:proofErr w:type="spellEnd"/>
      <w:r>
        <w:t xml:space="preserve"> primaire)</w:t>
      </w:r>
    </w:p>
    <w:p w:rsidR="008A63A0" w:rsidRDefault="008A63A0" w:rsidP="00A417E5">
      <w:pPr>
        <w:spacing w:after="0" w:line="240" w:lineRule="auto"/>
      </w:pPr>
      <w:proofErr w:type="gramStart"/>
      <w:r>
        <w:t>ils</w:t>
      </w:r>
      <w:proofErr w:type="gramEnd"/>
      <w:r>
        <w:t xml:space="preserve"> existent </w:t>
      </w:r>
      <w:proofErr w:type="spellStart"/>
      <w:r>
        <w:t>Ig</w:t>
      </w:r>
      <w:proofErr w:type="spellEnd"/>
      <w:r>
        <w:t xml:space="preserve"> M membranaires : rôle du récepteur </w:t>
      </w:r>
      <w:proofErr w:type="spellStart"/>
      <w:r>
        <w:t>pr</w:t>
      </w:r>
      <w:proofErr w:type="spellEnd"/>
      <w:r>
        <w:t xml:space="preserve"> l’Ag à la surface des LB</w:t>
      </w:r>
      <w:r w:rsidR="00A55E09">
        <w:t xml:space="preserve"> ; st associées à des molécules </w:t>
      </w:r>
      <w:proofErr w:type="spellStart"/>
      <w:r w:rsidR="00A55E09">
        <w:t>pr</w:t>
      </w:r>
      <w:proofErr w:type="spellEnd"/>
      <w:r w:rsidR="00A55E09">
        <w:t xml:space="preserve"> transduction du signal à l’</w:t>
      </w:r>
      <w:proofErr w:type="spellStart"/>
      <w:r w:rsidR="00A55E09">
        <w:t>int</w:t>
      </w:r>
      <w:proofErr w:type="spellEnd"/>
      <w:r w:rsidR="00A55E09">
        <w:t xml:space="preserve"> de la cellule et activation du LB</w:t>
      </w:r>
    </w:p>
    <w:p w:rsidR="00A55E09" w:rsidRDefault="00A55E09" w:rsidP="00A55E09">
      <w:pPr>
        <w:pStyle w:val="Paragraphedeliste"/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t>Ig</w:t>
      </w:r>
      <w:proofErr w:type="spellEnd"/>
      <w:r>
        <w:rPr>
          <w:b/>
        </w:rPr>
        <w:t xml:space="preserve"> A </w:t>
      </w:r>
      <w:r>
        <w:tab/>
        <w:t>(α₂</w:t>
      </w:r>
      <w:proofErr w:type="gramStart"/>
      <w:r>
        <w:t>,κ₂</w:t>
      </w:r>
      <w:proofErr w:type="gramEnd"/>
      <w:r>
        <w:t xml:space="preserve">  ou  α₂,λ₂)</w:t>
      </w:r>
    </w:p>
    <w:p w:rsidR="00A55E09" w:rsidRDefault="00A55E09" w:rsidP="00A55E09">
      <w:pPr>
        <w:spacing w:after="0" w:line="240" w:lineRule="auto"/>
      </w:pPr>
      <w:proofErr w:type="gramStart"/>
      <w:r>
        <w:t>st</w:t>
      </w:r>
      <w:proofErr w:type="gramEnd"/>
      <w:r>
        <w:t xml:space="preserve"> retrouvées un peu d</w:t>
      </w:r>
      <w:r w:rsidR="000D2C7E">
        <w:t>an</w:t>
      </w:r>
      <w:r>
        <w:t xml:space="preserve">s le sérum sous forme monomérique </w:t>
      </w:r>
    </w:p>
    <w:p w:rsidR="00A55E09" w:rsidRDefault="00A55E09" w:rsidP="00A55E09">
      <w:pPr>
        <w:spacing w:after="0" w:line="240" w:lineRule="auto"/>
      </w:pPr>
      <w:proofErr w:type="gramStart"/>
      <w:r>
        <w:t>très</w:t>
      </w:r>
      <w:proofErr w:type="gramEnd"/>
      <w:r>
        <w:t xml:space="preserve"> présentes au </w:t>
      </w:r>
      <w:proofErr w:type="spellStart"/>
      <w:r>
        <w:t>niv</w:t>
      </w:r>
      <w:proofErr w:type="spellEnd"/>
      <w:r>
        <w:t xml:space="preserve"> du compartiment muqueux et </w:t>
      </w:r>
      <w:proofErr w:type="spellStart"/>
      <w:r>
        <w:t>dc</w:t>
      </w:r>
      <w:proofErr w:type="spellEnd"/>
      <w:r>
        <w:t xml:space="preserve"> retrouvées </w:t>
      </w:r>
      <w:proofErr w:type="spellStart"/>
      <w:r>
        <w:t>ds</w:t>
      </w:r>
      <w:proofErr w:type="spellEnd"/>
      <w:r>
        <w:t xml:space="preserve"> les sécrétions (digestives, </w:t>
      </w:r>
      <w:proofErr w:type="spellStart"/>
      <w:r>
        <w:t>respi</w:t>
      </w:r>
      <w:proofErr w:type="spellEnd"/>
      <w:r>
        <w:t xml:space="preserve">, larmes, </w:t>
      </w:r>
      <w:proofErr w:type="spellStart"/>
      <w:r>
        <w:t>génito</w:t>
      </w:r>
      <w:proofErr w:type="spellEnd"/>
      <w:r>
        <w:t>-</w:t>
      </w:r>
      <w:proofErr w:type="spellStart"/>
      <w:r>
        <w:t>uri</w:t>
      </w:r>
      <w:proofErr w:type="spellEnd"/>
      <w:r>
        <w:t>)</w:t>
      </w:r>
    </w:p>
    <w:p w:rsidR="00A55E09" w:rsidRDefault="00A55E09" w:rsidP="00A55E09">
      <w:pPr>
        <w:spacing w:after="0" w:line="240" w:lineRule="auto"/>
      </w:pPr>
      <w:r>
        <w:t xml:space="preserve">    -&gt;st sous forme polymérique : 2 </w:t>
      </w:r>
      <w:proofErr w:type="spellStart"/>
      <w:r>
        <w:t>Ig</w:t>
      </w:r>
      <w:proofErr w:type="spellEnd"/>
      <w:r>
        <w:t xml:space="preserve"> A</w:t>
      </w:r>
      <w:r w:rsidR="006B459F">
        <w:t xml:space="preserve"> </w:t>
      </w:r>
      <w:r>
        <w:t xml:space="preserve">associées par chaine J + pièce sécrétoire </w:t>
      </w:r>
    </w:p>
    <w:p w:rsidR="006B459F" w:rsidRDefault="006B459F" w:rsidP="00A55E09">
      <w:pPr>
        <w:spacing w:after="0" w:line="240" w:lineRule="auto"/>
      </w:pPr>
      <w:proofErr w:type="gramStart"/>
      <w:r>
        <w:t>pièce</w:t>
      </w:r>
      <w:proofErr w:type="gramEnd"/>
      <w:r>
        <w:t xml:space="preserve"> sécrétoire = fragment polypeptidique qui s’enroule = non fabriqué par LB = protège l’</w:t>
      </w:r>
      <w:proofErr w:type="spellStart"/>
      <w:r>
        <w:t>Ac</w:t>
      </w:r>
      <w:proofErr w:type="spellEnd"/>
      <w:r>
        <w:t xml:space="preserve"> de la protéolyse et lui permet d’exercer sa </w:t>
      </w:r>
      <w:proofErr w:type="spellStart"/>
      <w:r>
        <w:t>fct</w:t>
      </w:r>
      <w:proofErr w:type="spellEnd"/>
      <w:r>
        <w:t>° d</w:t>
      </w:r>
      <w:r w:rsidR="000D2C7E">
        <w:t>an</w:t>
      </w:r>
      <w:r>
        <w:t>s un milieu hostile.</w:t>
      </w:r>
    </w:p>
    <w:p w:rsidR="006B459F" w:rsidRDefault="006B459F" w:rsidP="00A55E09">
      <w:pPr>
        <w:spacing w:after="0" w:line="240" w:lineRule="auto"/>
      </w:pPr>
      <w:r>
        <w:t xml:space="preserve">&gt;&gt;rôle fondamental </w:t>
      </w:r>
      <w:proofErr w:type="spellStart"/>
      <w:r>
        <w:t>ds</w:t>
      </w:r>
      <w:proofErr w:type="spellEnd"/>
      <w:r>
        <w:t xml:space="preserve"> l’immunité muqueuses</w:t>
      </w:r>
    </w:p>
    <w:p w:rsidR="006B459F" w:rsidRDefault="006B459F" w:rsidP="00A55E09">
      <w:pPr>
        <w:spacing w:after="0" w:line="240" w:lineRule="auto"/>
      </w:pPr>
      <w:r>
        <w:t>Attention : ils n’activent pas le complément </w:t>
      </w:r>
    </w:p>
    <w:p w:rsidR="006B459F" w:rsidRDefault="006B459F" w:rsidP="006B459F">
      <w:pPr>
        <w:pStyle w:val="Paragraphedeliste"/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t>Ig</w:t>
      </w:r>
      <w:proofErr w:type="spellEnd"/>
      <w:r>
        <w:rPr>
          <w:b/>
        </w:rPr>
        <w:t xml:space="preserve"> E</w:t>
      </w:r>
      <w:r>
        <w:tab/>
      </w:r>
      <w:r>
        <w:tab/>
        <w:t>(ε₂</w:t>
      </w:r>
      <w:proofErr w:type="gramStart"/>
      <w:r>
        <w:t>,κ₂</w:t>
      </w:r>
      <w:proofErr w:type="gramEnd"/>
      <w:r>
        <w:t xml:space="preserve"> ou ε₂,λ₂)</w:t>
      </w:r>
    </w:p>
    <w:p w:rsidR="006B459F" w:rsidRDefault="006B459F" w:rsidP="006B459F">
      <w:pPr>
        <w:spacing w:after="0" w:line="240" w:lineRule="auto"/>
      </w:pPr>
      <w:proofErr w:type="gramStart"/>
      <w:r>
        <w:t>taux</w:t>
      </w:r>
      <w:proofErr w:type="gramEnd"/>
      <w:r>
        <w:t xml:space="preserve"> sérique très faible ; st surtout à la surface de cellules</w:t>
      </w:r>
      <w:r w:rsidR="00091E06">
        <w:t xml:space="preserve"> (plasmocytes, PNE) </w:t>
      </w:r>
      <w:r>
        <w:t xml:space="preserve"> ancrées sur des récepteurs spécifiques</w:t>
      </w:r>
    </w:p>
    <w:p w:rsidR="006B459F" w:rsidRDefault="006B459F" w:rsidP="006B459F">
      <w:pPr>
        <w:spacing w:after="0" w:line="240" w:lineRule="auto"/>
      </w:pPr>
      <w:proofErr w:type="gramStart"/>
      <w:r>
        <w:t>rôle</w:t>
      </w:r>
      <w:proofErr w:type="gramEnd"/>
      <w:r>
        <w:t xml:space="preserve"> </w:t>
      </w:r>
      <w:proofErr w:type="spellStart"/>
      <w:r>
        <w:t>imp</w:t>
      </w:r>
      <w:proofErr w:type="spellEnd"/>
      <w:r>
        <w:t xml:space="preserve"> d</w:t>
      </w:r>
      <w:r w:rsidR="000D2C7E">
        <w:t>an</w:t>
      </w:r>
      <w:r>
        <w:t xml:space="preserve">s la défense </w:t>
      </w:r>
      <w:proofErr w:type="spellStart"/>
      <w:r>
        <w:t>anti-parasitaire</w:t>
      </w:r>
      <w:proofErr w:type="spellEnd"/>
      <w:r>
        <w:t> : entrainent le recrutement des PNE qui vont détruire les parasites</w:t>
      </w:r>
      <w:r w:rsidR="00091E06">
        <w:t>.</w:t>
      </w:r>
    </w:p>
    <w:p w:rsidR="00091E06" w:rsidRDefault="00091E06" w:rsidP="006B459F">
      <w:pPr>
        <w:spacing w:after="0" w:line="240" w:lineRule="auto"/>
      </w:pPr>
      <w:proofErr w:type="gramStart"/>
      <w:r>
        <w:t>st</w:t>
      </w:r>
      <w:proofErr w:type="gramEnd"/>
      <w:r>
        <w:t xml:space="preserve"> responsables des phénomènes d’hypersensibilité immédiate (allergie)</w:t>
      </w:r>
    </w:p>
    <w:p w:rsidR="00091E06" w:rsidRDefault="00091E06" w:rsidP="00091E06">
      <w:pPr>
        <w:pStyle w:val="Paragraphedeliste"/>
        <w:numPr>
          <w:ilvl w:val="0"/>
          <w:numId w:val="1"/>
        </w:numPr>
        <w:spacing w:after="0" w:line="240" w:lineRule="auto"/>
      </w:pPr>
      <w:proofErr w:type="spellStart"/>
      <w:r>
        <w:rPr>
          <w:b/>
        </w:rPr>
        <w:t>Ig</w:t>
      </w:r>
      <w:proofErr w:type="spellEnd"/>
      <w:r>
        <w:rPr>
          <w:b/>
        </w:rPr>
        <w:t xml:space="preserve"> D </w:t>
      </w:r>
      <w:r>
        <w:tab/>
        <w:t>(δ₂</w:t>
      </w:r>
      <w:proofErr w:type="gramStart"/>
      <w:r>
        <w:t>,κ₂</w:t>
      </w:r>
      <w:proofErr w:type="gramEnd"/>
      <w:r>
        <w:t xml:space="preserve"> ou δ₂,λ₂)</w:t>
      </w:r>
    </w:p>
    <w:p w:rsidR="00091E06" w:rsidRDefault="00091E06" w:rsidP="00091E06">
      <w:pPr>
        <w:spacing w:after="0" w:line="240" w:lineRule="auto"/>
      </w:pPr>
      <w:proofErr w:type="gramStart"/>
      <w:r>
        <w:t>moins</w:t>
      </w:r>
      <w:proofErr w:type="gramEnd"/>
      <w:r>
        <w:t xml:space="preserve"> de 1% des </w:t>
      </w:r>
      <w:proofErr w:type="spellStart"/>
      <w:r>
        <w:t>Ig</w:t>
      </w:r>
      <w:proofErr w:type="spellEnd"/>
      <w:r>
        <w:t xml:space="preserve"> sériques ; existent sous forme membranaire</w:t>
      </w:r>
    </w:p>
    <w:p w:rsidR="00091E06" w:rsidRDefault="00091E06" w:rsidP="00091E06">
      <w:pPr>
        <w:spacing w:after="0" w:line="240" w:lineRule="auto"/>
      </w:pPr>
    </w:p>
    <w:p w:rsidR="00091E06" w:rsidRDefault="00091E06" w:rsidP="00091E06">
      <w:pPr>
        <w:spacing w:after="0" w:line="240" w:lineRule="auto"/>
      </w:pPr>
      <w:r>
        <w:rPr>
          <w:b/>
          <w:u w:val="single"/>
        </w:rPr>
        <w:t>LA FONCTION EFFECTRICE</w:t>
      </w:r>
    </w:p>
    <w:p w:rsidR="00091E06" w:rsidRDefault="00091E06" w:rsidP="00091E06">
      <w:pPr>
        <w:spacing w:after="0" w:line="240" w:lineRule="auto"/>
      </w:pPr>
    </w:p>
    <w:p w:rsidR="00A32EA3" w:rsidRDefault="00A32EA3" w:rsidP="00A417E5">
      <w:pPr>
        <w:spacing w:after="0" w:line="240" w:lineRule="auto"/>
      </w:pPr>
      <w:r>
        <w:rPr>
          <w:noProof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-2540</wp:posOffset>
            </wp:positionV>
            <wp:extent cx="2476500" cy="1714500"/>
            <wp:effectExtent l="19050" t="0" r="0" b="0"/>
            <wp:wrapSquare wrapText="bothSides"/>
            <wp:docPr id="1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Fragment </w:t>
      </w:r>
      <w:proofErr w:type="spellStart"/>
      <w:r>
        <w:t>Fc</w:t>
      </w:r>
      <w:proofErr w:type="spellEnd"/>
      <w:r>
        <w:t xml:space="preserve"> = partie très conservée = assure la </w:t>
      </w:r>
      <w:proofErr w:type="spellStart"/>
      <w:r>
        <w:t>fct</w:t>
      </w:r>
      <w:proofErr w:type="spellEnd"/>
      <w:r>
        <w:t xml:space="preserve">°effectrice </w:t>
      </w:r>
    </w:p>
    <w:p w:rsidR="00F54956" w:rsidRDefault="00A32EA3" w:rsidP="00A32EA3">
      <w:pPr>
        <w:spacing w:after="0" w:line="240" w:lineRule="auto"/>
        <w:ind w:left="3540" w:firstLine="708"/>
      </w:pPr>
      <w:r>
        <w:t xml:space="preserve">                                                    = assure aussi rôle de régulation </w:t>
      </w:r>
      <w:proofErr w:type="spellStart"/>
      <w:r>
        <w:t>ds</w:t>
      </w:r>
      <w:proofErr w:type="spellEnd"/>
      <w:r>
        <w:t xml:space="preserve"> la </w:t>
      </w:r>
      <w:proofErr w:type="spellStart"/>
      <w:r>
        <w:t>rép</w:t>
      </w:r>
      <w:proofErr w:type="spellEnd"/>
      <w:r>
        <w:t xml:space="preserve"> </w:t>
      </w:r>
      <w:proofErr w:type="spellStart"/>
      <w:r>
        <w:t>immu</w:t>
      </w:r>
      <w:proofErr w:type="spellEnd"/>
      <w:r>
        <w:t xml:space="preserve"> en se fixant sur récepteurs </w:t>
      </w:r>
      <w:proofErr w:type="spellStart"/>
      <w:r>
        <w:t>spéci</w:t>
      </w:r>
      <w:proofErr w:type="spellEnd"/>
      <w:r>
        <w:t xml:space="preserve"> : </w:t>
      </w:r>
      <w:proofErr w:type="spellStart"/>
      <w:r>
        <w:t>Fc</w:t>
      </w:r>
      <w:proofErr w:type="spellEnd"/>
      <w:r>
        <w:t xml:space="preserve"> récepteurs</w:t>
      </w:r>
    </w:p>
    <w:p w:rsidR="00A32EA3" w:rsidRDefault="00A32EA3" w:rsidP="00A32EA3">
      <w:pPr>
        <w:spacing w:after="0" w:line="240" w:lineRule="auto"/>
      </w:pPr>
    </w:p>
    <w:p w:rsidR="00C95618" w:rsidRDefault="00A32EA3" w:rsidP="00A32EA3">
      <w:pPr>
        <w:spacing w:after="0" w:line="240" w:lineRule="auto"/>
      </w:pPr>
      <w:proofErr w:type="spellStart"/>
      <w:r>
        <w:t>Ig</w:t>
      </w:r>
      <w:proofErr w:type="spellEnd"/>
      <w:r>
        <w:t xml:space="preserve"> G se lient à 4 classe de récepteurs </w:t>
      </w:r>
      <w:proofErr w:type="spellStart"/>
      <w:r>
        <w:t>Fc</w:t>
      </w:r>
      <w:proofErr w:type="spellEnd"/>
      <w:r>
        <w:t xml:space="preserve"> sur LB :</w:t>
      </w:r>
      <w:r w:rsidR="00C95618">
        <w:t xml:space="preserve"> diffèrent </w:t>
      </w:r>
      <w:r>
        <w:t xml:space="preserve"> </w:t>
      </w:r>
      <w:r w:rsidR="00C95618">
        <w:t xml:space="preserve">sur </w:t>
      </w:r>
    </w:p>
    <w:p w:rsidR="00C95618" w:rsidRDefault="00C95618" w:rsidP="00C95618">
      <w:pPr>
        <w:spacing w:after="0" w:line="240" w:lineRule="auto"/>
        <w:ind w:firstLine="708"/>
      </w:pPr>
      <w:proofErr w:type="gramStart"/>
      <w:r>
        <w:t>spécificité</w:t>
      </w:r>
      <w:proofErr w:type="gramEnd"/>
      <w:r>
        <w:t xml:space="preserve"> par rapport à l’</w:t>
      </w:r>
      <w:proofErr w:type="spellStart"/>
      <w:r>
        <w:t>Ig</w:t>
      </w:r>
      <w:proofErr w:type="spellEnd"/>
      <w:r>
        <w:t xml:space="preserve">  (étroite ou large)</w:t>
      </w:r>
    </w:p>
    <w:p w:rsidR="00A32EA3" w:rsidRDefault="00C95618" w:rsidP="00C95618">
      <w:pPr>
        <w:spacing w:after="0" w:line="240" w:lineRule="auto"/>
        <w:ind w:firstLine="708"/>
      </w:pPr>
      <w:r>
        <w:t xml:space="preserve"> </w:t>
      </w:r>
      <w:proofErr w:type="gramStart"/>
      <w:r>
        <w:t>s’ils</w:t>
      </w:r>
      <w:proofErr w:type="gramEnd"/>
      <w:r>
        <w:t xml:space="preserve"> st activateurs ou inhibiteurs par rapport à la </w:t>
      </w:r>
      <w:proofErr w:type="spellStart"/>
      <w:r>
        <w:t>rép</w:t>
      </w:r>
      <w:proofErr w:type="spellEnd"/>
      <w:r>
        <w:t xml:space="preserve"> immune</w:t>
      </w:r>
    </w:p>
    <w:p w:rsidR="00C95618" w:rsidRDefault="00C95618" w:rsidP="00C95618">
      <w:pPr>
        <w:spacing w:after="0" w:line="240" w:lineRule="auto"/>
      </w:pPr>
      <w:proofErr w:type="gramStart"/>
      <w:r>
        <w:t>( contrôle</w:t>
      </w:r>
      <w:proofErr w:type="gramEnd"/>
      <w:r>
        <w:t xml:space="preserve">, régulation de la </w:t>
      </w:r>
      <w:proofErr w:type="spellStart"/>
      <w:r>
        <w:t>rép</w:t>
      </w:r>
      <w:proofErr w:type="spellEnd"/>
      <w:r>
        <w:t xml:space="preserve"> p</w:t>
      </w:r>
      <w:r w:rsidR="000D2C7E">
        <w:t>ou</w:t>
      </w:r>
      <w:r>
        <w:t>r empêcher de s’emballer)</w:t>
      </w:r>
    </w:p>
    <w:p w:rsidR="00C95618" w:rsidRDefault="00C95618" w:rsidP="00C95618">
      <w:pPr>
        <w:spacing w:after="0" w:line="240" w:lineRule="auto"/>
      </w:pPr>
    </w:p>
    <w:p w:rsidR="00C95618" w:rsidRDefault="00C95618" w:rsidP="00C95618">
      <w:pPr>
        <w:spacing w:after="0" w:line="240" w:lineRule="auto"/>
      </w:pPr>
    </w:p>
    <w:p w:rsidR="00C95618" w:rsidRDefault="00C95618" w:rsidP="00C95618">
      <w:pPr>
        <w:spacing w:after="0" w:line="240" w:lineRule="auto"/>
      </w:pPr>
    </w:p>
    <w:p w:rsidR="00C95618" w:rsidRDefault="00C95618" w:rsidP="00C95618">
      <w:pPr>
        <w:spacing w:after="0" w:line="240" w:lineRule="auto"/>
      </w:pPr>
      <w:r>
        <w:rPr>
          <w:b/>
          <w:u w:val="single"/>
        </w:rPr>
        <w:t xml:space="preserve">LA VARIABILITE DES </w:t>
      </w:r>
      <w:proofErr w:type="spellStart"/>
      <w:r>
        <w:rPr>
          <w:b/>
          <w:u w:val="single"/>
        </w:rPr>
        <w:t>Ac</w:t>
      </w:r>
      <w:proofErr w:type="spellEnd"/>
    </w:p>
    <w:p w:rsidR="00C95618" w:rsidRDefault="00C95618" w:rsidP="00C95618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variabilité concernant les régions conservées </w:t>
      </w:r>
      <w:r w:rsidR="00AE6805">
        <w:t xml:space="preserve"> (</w:t>
      </w:r>
      <w:proofErr w:type="spellStart"/>
      <w:r w:rsidR="00AE6805">
        <w:t>isotypie</w:t>
      </w:r>
      <w:proofErr w:type="spellEnd"/>
      <w:r w:rsidR="00AE6805">
        <w:t xml:space="preserve">, </w:t>
      </w:r>
      <w:proofErr w:type="spellStart"/>
      <w:r w:rsidR="00AE6805">
        <w:t>allotypie</w:t>
      </w:r>
      <w:proofErr w:type="spellEnd"/>
      <w:r w:rsidR="00AE6805">
        <w:t>)  (déjà vue !)</w:t>
      </w:r>
    </w:p>
    <w:p w:rsidR="00AE6805" w:rsidRDefault="00AE6805" w:rsidP="00C95618">
      <w:pPr>
        <w:pStyle w:val="Paragraphedeliste"/>
        <w:numPr>
          <w:ilvl w:val="0"/>
          <w:numId w:val="1"/>
        </w:numPr>
        <w:spacing w:after="0" w:line="240" w:lineRule="auto"/>
      </w:pPr>
      <w:r>
        <w:t xml:space="preserve">variabilité liée aux régions hypervariables </w:t>
      </w:r>
      <w:proofErr w:type="gramStart"/>
      <w:r>
        <w:t>( idiotypie</w:t>
      </w:r>
      <w:proofErr w:type="gramEnd"/>
      <w:r>
        <w:t xml:space="preserve">) </w:t>
      </w:r>
    </w:p>
    <w:p w:rsidR="00AE6805" w:rsidRDefault="00AE6805" w:rsidP="00AE6805">
      <w:pPr>
        <w:spacing w:after="0" w:line="240" w:lineRule="auto"/>
      </w:pPr>
      <w:proofErr w:type="spellStart"/>
      <w:proofErr w:type="gramStart"/>
      <w:r>
        <w:t>bcp</w:t>
      </w:r>
      <w:proofErr w:type="spellEnd"/>
      <w:proofErr w:type="gramEnd"/>
      <w:r>
        <w:t xml:space="preserve"> d’</w:t>
      </w:r>
      <w:proofErr w:type="spellStart"/>
      <w:r>
        <w:t>Ac</w:t>
      </w:r>
      <w:proofErr w:type="spellEnd"/>
      <w:r>
        <w:t xml:space="preserve"> ne diffèrent que par ces régions ; variabilité par recombinaison et mutation de gènes</w:t>
      </w:r>
    </w:p>
    <w:p w:rsidR="00653458" w:rsidRDefault="00653458" w:rsidP="00AE6805">
      <w:pPr>
        <w:spacing w:after="0" w:line="240" w:lineRule="auto"/>
      </w:pPr>
      <w:r>
        <w:t>RECOMBINAISONS</w:t>
      </w:r>
    </w:p>
    <w:p w:rsidR="00AE6805" w:rsidRDefault="00AE6805" w:rsidP="00AE6805">
      <w:pPr>
        <w:spacing w:after="0" w:line="240" w:lineRule="auto"/>
      </w:pPr>
      <w:proofErr w:type="gramStart"/>
      <w:r>
        <w:t>chaines</w:t>
      </w:r>
      <w:proofErr w:type="gramEnd"/>
      <w:r>
        <w:t xml:space="preserve"> lourdes et légères st synthétisées séparément à partir de gènes situés sur K différents puis s’apparient au </w:t>
      </w:r>
      <w:proofErr w:type="spellStart"/>
      <w:r>
        <w:t>niv</w:t>
      </w:r>
      <w:proofErr w:type="spellEnd"/>
      <w:r>
        <w:t xml:space="preserve"> du RE</w:t>
      </w:r>
    </w:p>
    <w:p w:rsidR="00AE6805" w:rsidRDefault="00610205" w:rsidP="00AE6805">
      <w:pPr>
        <w:spacing w:after="0" w:line="240" w:lineRule="auto"/>
      </w:pPr>
      <w:r>
        <w:tab/>
      </w:r>
      <w:r>
        <w:tab/>
      </w:r>
      <w:proofErr w:type="gramStart"/>
      <w:r>
        <w:t>chaines</w:t>
      </w:r>
      <w:proofErr w:type="gramEnd"/>
      <w:r>
        <w:t xml:space="preserve"> lourdes : K 14</w:t>
      </w:r>
      <w:r>
        <w:tab/>
      </w:r>
    </w:p>
    <w:p w:rsidR="00610205" w:rsidRDefault="00610205" w:rsidP="00AE6805">
      <w:pPr>
        <w:spacing w:after="0" w:line="240" w:lineRule="auto"/>
      </w:pPr>
      <w:r>
        <w:tab/>
      </w:r>
      <w:r>
        <w:tab/>
      </w:r>
      <w:proofErr w:type="gramStart"/>
      <w:r>
        <w:t>chaines</w:t>
      </w:r>
      <w:proofErr w:type="gramEnd"/>
      <w:r>
        <w:t xml:space="preserve"> légères κ : K 2</w:t>
      </w:r>
    </w:p>
    <w:p w:rsidR="00610205" w:rsidRDefault="00610205" w:rsidP="00AE6805">
      <w:pPr>
        <w:spacing w:after="0" w:line="240" w:lineRule="auto"/>
      </w:pPr>
      <w:r>
        <w:tab/>
      </w:r>
      <w:r>
        <w:tab/>
      </w:r>
      <w:proofErr w:type="gramStart"/>
      <w:r>
        <w:t>chaines</w:t>
      </w:r>
      <w:proofErr w:type="gramEnd"/>
      <w:r>
        <w:t xml:space="preserve"> légères λ : K 22</w:t>
      </w:r>
    </w:p>
    <w:p w:rsidR="00653458" w:rsidRDefault="00653458" w:rsidP="00AE6805">
      <w:pPr>
        <w:spacing w:after="0" w:line="240" w:lineRule="auto"/>
      </w:pPr>
    </w:p>
    <w:p w:rsidR="00610205" w:rsidRDefault="00610205" w:rsidP="00AE6805">
      <w:pPr>
        <w:spacing w:after="0" w:line="240" w:lineRule="auto"/>
      </w:pPr>
      <w:r>
        <w:t xml:space="preserve">Il y a </w:t>
      </w:r>
      <w:proofErr w:type="spellStart"/>
      <w:r>
        <w:t>pls</w:t>
      </w:r>
      <w:proofErr w:type="spellEnd"/>
      <w:r>
        <w:t xml:space="preserve"> gènes codant chacun </w:t>
      </w:r>
      <w:proofErr w:type="spellStart"/>
      <w:r>
        <w:t>pr</w:t>
      </w:r>
      <w:proofErr w:type="spellEnd"/>
      <w:r>
        <w:t xml:space="preserve"> une région de la chaine : </w:t>
      </w:r>
    </w:p>
    <w:p w:rsidR="00610205" w:rsidRDefault="00610205" w:rsidP="00AE6805">
      <w:pPr>
        <w:spacing w:after="0" w:line="240" w:lineRule="auto"/>
      </w:pPr>
      <w:r>
        <w:tab/>
      </w:r>
      <w:proofErr w:type="gramStart"/>
      <w:r>
        <w:t>groupe</w:t>
      </w:r>
      <w:proofErr w:type="gramEnd"/>
      <w:r>
        <w:t xml:space="preserve"> V codant </w:t>
      </w:r>
      <w:proofErr w:type="spellStart"/>
      <w:r>
        <w:t>pr</w:t>
      </w:r>
      <w:proofErr w:type="spellEnd"/>
      <w:r>
        <w:t xml:space="preserve"> la région variable</w:t>
      </w:r>
    </w:p>
    <w:p w:rsidR="00610205" w:rsidRDefault="00610205" w:rsidP="00610205">
      <w:pPr>
        <w:spacing w:after="0" w:line="240" w:lineRule="auto"/>
        <w:ind w:firstLine="708"/>
      </w:pPr>
      <w:proofErr w:type="gramStart"/>
      <w:r>
        <w:t>groupe</w:t>
      </w:r>
      <w:proofErr w:type="gramEnd"/>
      <w:r>
        <w:t xml:space="preserve"> J codant </w:t>
      </w:r>
      <w:proofErr w:type="spellStart"/>
      <w:r>
        <w:t>pr</w:t>
      </w:r>
      <w:proofErr w:type="spellEnd"/>
      <w:r>
        <w:t xml:space="preserve"> la région jonction </w:t>
      </w:r>
    </w:p>
    <w:p w:rsidR="00610205" w:rsidRDefault="00610205" w:rsidP="00AE6805">
      <w:pPr>
        <w:spacing w:after="0" w:line="240" w:lineRule="auto"/>
      </w:pPr>
      <w:r>
        <w:tab/>
      </w:r>
      <w:proofErr w:type="gramStart"/>
      <w:r>
        <w:t>groupe</w:t>
      </w:r>
      <w:proofErr w:type="gramEnd"/>
      <w:r>
        <w:t xml:space="preserve"> C codant </w:t>
      </w:r>
      <w:proofErr w:type="spellStart"/>
      <w:r>
        <w:t>pr</w:t>
      </w:r>
      <w:proofErr w:type="spellEnd"/>
      <w:r>
        <w:t xml:space="preserve"> la région constante</w:t>
      </w:r>
    </w:p>
    <w:p w:rsidR="00610205" w:rsidRDefault="00610205" w:rsidP="00AE6805">
      <w:pPr>
        <w:spacing w:after="0" w:line="240" w:lineRule="auto"/>
      </w:pPr>
      <w:r>
        <w:tab/>
      </w:r>
      <w:r>
        <w:tab/>
      </w:r>
      <w:proofErr w:type="gramStart"/>
      <w:r>
        <w:t>groupe</w:t>
      </w:r>
      <w:proofErr w:type="gramEnd"/>
      <w:r>
        <w:t xml:space="preserve"> D (entre V et J) codant </w:t>
      </w:r>
      <w:proofErr w:type="spellStart"/>
      <w:r>
        <w:t>pr</w:t>
      </w:r>
      <w:proofErr w:type="spellEnd"/>
      <w:r>
        <w:t xml:space="preserve"> la région diversité : juste chez chaines lourdes</w:t>
      </w:r>
    </w:p>
    <w:p w:rsidR="00653458" w:rsidRDefault="00653458" w:rsidP="00AE6805">
      <w:pPr>
        <w:spacing w:after="0" w:line="240" w:lineRule="auto"/>
      </w:pPr>
    </w:p>
    <w:p w:rsidR="00CC4562" w:rsidRDefault="00610205" w:rsidP="00AE6805">
      <w:pPr>
        <w:spacing w:after="0" w:line="240" w:lineRule="auto"/>
      </w:pPr>
      <w:r>
        <w:t xml:space="preserve">Pr chaque gr de gènes : </w:t>
      </w:r>
      <w:proofErr w:type="spellStart"/>
      <w:r>
        <w:t>pls</w:t>
      </w:r>
      <w:proofErr w:type="spellEnd"/>
      <w:r>
        <w:t xml:space="preserve"> allèles possibles </w:t>
      </w:r>
      <w:r w:rsidR="00CC4562">
        <w:t xml:space="preserve">et il va y avoir un jeu de recombinaison qui </w:t>
      </w:r>
      <w:proofErr w:type="spellStart"/>
      <w:r w:rsidR="00CC4562">
        <w:t>délète</w:t>
      </w:r>
      <w:proofErr w:type="spellEnd"/>
      <w:r w:rsidR="00CC4562">
        <w:t xml:space="preserve"> une partie entre ces gènes (par action d’une recombinaison) et occasionne des rapprochements au hasard avec excision d’ADN situé entre les deux, l’ADN réarrangé est transcrit en ARN puis épissage. </w:t>
      </w:r>
    </w:p>
    <w:p w:rsidR="00CC4562" w:rsidRDefault="00CC4562" w:rsidP="00AE6805">
      <w:pPr>
        <w:spacing w:after="0" w:line="240" w:lineRule="auto"/>
      </w:pPr>
      <w:r>
        <w:tab/>
        <w:t xml:space="preserve">&gt;&gt; </w:t>
      </w:r>
      <w:proofErr w:type="gramStart"/>
      <w:r>
        <w:t>à</w:t>
      </w:r>
      <w:proofErr w:type="gramEnd"/>
      <w:r>
        <w:t xml:space="preserve"> la fin, les cellules ont produits </w:t>
      </w:r>
      <w:proofErr w:type="spellStart"/>
      <w:r>
        <w:t>bcp</w:t>
      </w:r>
      <w:proofErr w:type="spellEnd"/>
      <w:r>
        <w:t xml:space="preserve"> d’</w:t>
      </w:r>
      <w:proofErr w:type="spellStart"/>
      <w:r>
        <w:t>Ac</w:t>
      </w:r>
      <w:proofErr w:type="spellEnd"/>
      <w:r>
        <w:t xml:space="preserve">  au hasard</w:t>
      </w:r>
    </w:p>
    <w:p w:rsidR="00653458" w:rsidRDefault="00653458" w:rsidP="00AE6805">
      <w:pPr>
        <w:spacing w:after="0" w:line="240" w:lineRule="auto"/>
      </w:pPr>
    </w:p>
    <w:p w:rsidR="00CC4562" w:rsidRDefault="00CC4562" w:rsidP="00AE6805">
      <w:pPr>
        <w:spacing w:after="0" w:line="240" w:lineRule="auto"/>
      </w:pPr>
      <w:r>
        <w:t xml:space="preserve">Ces recombinaisons surviennent : </w:t>
      </w:r>
      <w:proofErr w:type="spellStart"/>
      <w:r>
        <w:t>ds</w:t>
      </w:r>
      <w:proofErr w:type="spellEnd"/>
      <w:r>
        <w:t xml:space="preserve"> la MO, au cours du processus de différentiation initiale, indépendamment de </w:t>
      </w:r>
      <w:proofErr w:type="spellStart"/>
      <w:r>
        <w:t>tte</w:t>
      </w:r>
      <w:proofErr w:type="spellEnd"/>
      <w:r>
        <w:t xml:space="preserve"> activation par l’Ag. Elles déterminent la spécificité de l’</w:t>
      </w:r>
      <w:proofErr w:type="spellStart"/>
      <w:r>
        <w:t>Ac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l’Ag</w:t>
      </w:r>
      <w:r w:rsidR="00653458">
        <w:t>.</w:t>
      </w:r>
    </w:p>
    <w:p w:rsidR="00653458" w:rsidRDefault="00653458" w:rsidP="00AE6805">
      <w:pPr>
        <w:spacing w:after="0" w:line="240" w:lineRule="auto"/>
      </w:pPr>
      <w:r>
        <w:t>L’</w:t>
      </w:r>
      <w:proofErr w:type="spellStart"/>
      <w:r>
        <w:t>Ig</w:t>
      </w:r>
      <w:proofErr w:type="spellEnd"/>
      <w:r>
        <w:t xml:space="preserve"> synthétisée est une </w:t>
      </w:r>
      <w:proofErr w:type="spellStart"/>
      <w:r>
        <w:t>Ig</w:t>
      </w:r>
      <w:proofErr w:type="spellEnd"/>
      <w:r>
        <w:t xml:space="preserve"> M</w:t>
      </w:r>
    </w:p>
    <w:p w:rsidR="000D2C7E" w:rsidRDefault="000D2C7E" w:rsidP="00AE6805">
      <w:pPr>
        <w:spacing w:after="0" w:line="240" w:lineRule="auto"/>
      </w:pPr>
    </w:p>
    <w:p w:rsidR="00653458" w:rsidRDefault="00653458" w:rsidP="00AE6805">
      <w:pPr>
        <w:spacing w:after="0" w:line="240" w:lineRule="auto"/>
      </w:pPr>
      <w:r>
        <w:lastRenderedPageBreak/>
        <w:t>MUTATIONS SOMATIQUES</w:t>
      </w:r>
    </w:p>
    <w:p w:rsidR="00653458" w:rsidRDefault="00653458" w:rsidP="00AE6805">
      <w:pPr>
        <w:spacing w:after="0" w:line="240" w:lineRule="auto"/>
      </w:pPr>
      <w:proofErr w:type="gramStart"/>
      <w:r>
        <w:t>surviennent</w:t>
      </w:r>
      <w:proofErr w:type="gramEnd"/>
      <w:r>
        <w:t xml:space="preserve"> que après activation des LB par Ag </w:t>
      </w:r>
      <w:proofErr w:type="spellStart"/>
      <w:r>
        <w:t>ds</w:t>
      </w:r>
      <w:proofErr w:type="spellEnd"/>
      <w:r>
        <w:t xml:space="preserve"> organes lymp</w:t>
      </w:r>
      <w:r w:rsidR="000D2C7E">
        <w:t>hoïdes</w:t>
      </w:r>
      <w:r>
        <w:t xml:space="preserve"> II</w:t>
      </w:r>
    </w:p>
    <w:p w:rsidR="00653458" w:rsidRDefault="00653458" w:rsidP="00AE6805">
      <w:pPr>
        <w:spacing w:after="0" w:line="240" w:lineRule="auto"/>
      </w:pPr>
      <w:proofErr w:type="gramStart"/>
      <w:r>
        <w:t>modifient</w:t>
      </w:r>
      <w:proofErr w:type="gramEnd"/>
      <w:r>
        <w:t xml:space="preserve"> l’affinité de l’</w:t>
      </w:r>
      <w:proofErr w:type="spellStart"/>
      <w:r>
        <w:t>Ac</w:t>
      </w:r>
      <w:proofErr w:type="spellEnd"/>
      <w:r>
        <w:t xml:space="preserve"> </w:t>
      </w:r>
      <w:proofErr w:type="spellStart"/>
      <w:r>
        <w:t>pr</w:t>
      </w:r>
      <w:proofErr w:type="spellEnd"/>
      <w:r>
        <w:t xml:space="preserve"> l’Ag = MATURATION D’AFFINITE</w:t>
      </w:r>
    </w:p>
    <w:p w:rsidR="00653458" w:rsidRDefault="00653458" w:rsidP="00AE6805">
      <w:pPr>
        <w:spacing w:after="0" w:line="240" w:lineRule="auto"/>
      </w:pPr>
      <w:proofErr w:type="gramStart"/>
      <w:r>
        <w:t>ne</w:t>
      </w:r>
      <w:proofErr w:type="gramEnd"/>
      <w:r>
        <w:t xml:space="preserve"> modifient pas l’</w:t>
      </w:r>
      <w:proofErr w:type="spellStart"/>
      <w:r>
        <w:t>isotype</w:t>
      </w:r>
      <w:proofErr w:type="spellEnd"/>
      <w:r>
        <w:t xml:space="preserve"> ni les propriétés fonctionnelles de l’</w:t>
      </w:r>
      <w:proofErr w:type="spellStart"/>
      <w:r>
        <w:t>Ac</w:t>
      </w:r>
      <w:proofErr w:type="spellEnd"/>
    </w:p>
    <w:p w:rsidR="00E91407" w:rsidRDefault="00E91407" w:rsidP="00AE6805">
      <w:pPr>
        <w:spacing w:after="0" w:line="240" w:lineRule="auto"/>
      </w:pPr>
    </w:p>
    <w:p w:rsidR="00E91407" w:rsidRDefault="00E91407" w:rsidP="00AE6805">
      <w:pPr>
        <w:spacing w:after="0" w:line="240" w:lineRule="auto"/>
      </w:pPr>
      <w:r>
        <w:rPr>
          <w:b/>
          <w:u w:val="single"/>
        </w:rPr>
        <w:t xml:space="preserve">VARIABILITE DE LA REGION </w:t>
      </w:r>
      <w:proofErr w:type="spellStart"/>
      <w:r>
        <w:rPr>
          <w:b/>
          <w:u w:val="single"/>
        </w:rPr>
        <w:t>Fc</w:t>
      </w:r>
      <w:proofErr w:type="spellEnd"/>
      <w:r>
        <w:rPr>
          <w:b/>
          <w:u w:val="single"/>
        </w:rPr>
        <w:t xml:space="preserve"> DES </w:t>
      </w:r>
      <w:proofErr w:type="spellStart"/>
      <w:r>
        <w:rPr>
          <w:b/>
          <w:u w:val="single"/>
        </w:rPr>
        <w:t>Ac</w:t>
      </w:r>
      <w:proofErr w:type="spellEnd"/>
    </w:p>
    <w:p w:rsidR="00E91407" w:rsidRDefault="00E91407" w:rsidP="00AE6805">
      <w:pPr>
        <w:spacing w:after="0" w:line="240" w:lineRule="auto"/>
      </w:pPr>
      <w:r>
        <w:t>Les gènes de la partie constante peuvent modifier l’</w:t>
      </w:r>
      <w:proofErr w:type="spellStart"/>
      <w:r>
        <w:t>isotype</w:t>
      </w:r>
      <w:proofErr w:type="spellEnd"/>
      <w:r>
        <w:t xml:space="preserve"> de l’</w:t>
      </w:r>
      <w:proofErr w:type="spellStart"/>
      <w:r>
        <w:t>Ac</w:t>
      </w:r>
      <w:proofErr w:type="spellEnd"/>
      <w:r>
        <w:t xml:space="preserve"> produit par le LB = commutation </w:t>
      </w:r>
      <w:proofErr w:type="spellStart"/>
      <w:r>
        <w:t>isotypique</w:t>
      </w:r>
      <w:proofErr w:type="spellEnd"/>
      <w:r>
        <w:t xml:space="preserve"> = SWITCH</w:t>
      </w:r>
    </w:p>
    <w:p w:rsidR="00E91407" w:rsidRDefault="00E91407" w:rsidP="00E91407">
      <w:pPr>
        <w:pStyle w:val="Paragraphedeliste"/>
        <w:numPr>
          <w:ilvl w:val="0"/>
          <w:numId w:val="3"/>
        </w:numPr>
        <w:spacing w:after="0" w:line="240" w:lineRule="auto"/>
      </w:pPr>
      <w:proofErr w:type="spellStart"/>
      <w:r>
        <w:t>Ig</w:t>
      </w:r>
      <w:proofErr w:type="spellEnd"/>
      <w:r>
        <w:t xml:space="preserve"> M devient </w:t>
      </w:r>
      <w:proofErr w:type="spellStart"/>
      <w:r>
        <w:t>Ig</w:t>
      </w:r>
      <w:proofErr w:type="spellEnd"/>
      <w:r>
        <w:t xml:space="preserve"> G    ou </w:t>
      </w:r>
      <w:proofErr w:type="spellStart"/>
      <w:r>
        <w:t>Ig</w:t>
      </w:r>
      <w:proofErr w:type="spellEnd"/>
      <w:r>
        <w:t xml:space="preserve"> M devient </w:t>
      </w:r>
      <w:proofErr w:type="spellStart"/>
      <w:r>
        <w:t>Ig</w:t>
      </w:r>
      <w:proofErr w:type="spellEnd"/>
      <w:r>
        <w:t xml:space="preserve"> A     </w:t>
      </w:r>
      <w:proofErr w:type="spellStart"/>
      <w:r>
        <w:t>tjr</w:t>
      </w:r>
      <w:proofErr w:type="spellEnd"/>
      <w:r>
        <w:t xml:space="preserve"> avec la même spécificité antigénique</w:t>
      </w:r>
    </w:p>
    <w:p w:rsidR="00E91407" w:rsidRDefault="00E91407" w:rsidP="00E91407">
      <w:pPr>
        <w:spacing w:after="0" w:line="240" w:lineRule="auto"/>
      </w:pPr>
      <w:r>
        <w:t xml:space="preserve">-&gt;propriétés fonctionnelles différentes et mieux adaptées à la situation ; se produit </w:t>
      </w:r>
      <w:proofErr w:type="spellStart"/>
      <w:r>
        <w:t>ds</w:t>
      </w:r>
      <w:proofErr w:type="spellEnd"/>
      <w:r>
        <w:t xml:space="preserve"> organes </w:t>
      </w:r>
      <w:proofErr w:type="spellStart"/>
      <w:r>
        <w:t>lymph</w:t>
      </w:r>
      <w:proofErr w:type="spellEnd"/>
      <w:r>
        <w:t xml:space="preserve"> II</w:t>
      </w:r>
    </w:p>
    <w:p w:rsidR="00EC093E" w:rsidRDefault="00EC093E" w:rsidP="00E91407">
      <w:pPr>
        <w:spacing w:after="0" w:line="240" w:lineRule="auto"/>
      </w:pPr>
    </w:p>
    <w:p w:rsidR="00E91407" w:rsidRDefault="00EC093E" w:rsidP="00E91407">
      <w:pPr>
        <w:spacing w:after="0" w:line="240" w:lineRule="auto"/>
      </w:pPr>
      <w:r>
        <w:t xml:space="preserve">Attention : toutes les cellules filles issues de la division d’un LB ont des </w:t>
      </w:r>
      <w:proofErr w:type="spellStart"/>
      <w:r>
        <w:t>Ig</w:t>
      </w:r>
      <w:proofErr w:type="spellEnd"/>
      <w:r>
        <w:t xml:space="preserve"> identiques = prolifération clonale</w:t>
      </w:r>
    </w:p>
    <w:p w:rsidR="00EC093E" w:rsidRDefault="00EC093E" w:rsidP="00E91407">
      <w:pPr>
        <w:spacing w:after="0" w:line="240" w:lineRule="auto"/>
      </w:pPr>
    </w:p>
    <w:p w:rsidR="00E91407" w:rsidRPr="00E91407" w:rsidRDefault="00E91407" w:rsidP="00E91407">
      <w:pPr>
        <w:spacing w:after="0" w:line="240" w:lineRule="auto"/>
      </w:pPr>
    </w:p>
    <w:p w:rsidR="00610205" w:rsidRDefault="00CC4562" w:rsidP="00AE6805">
      <w:pPr>
        <w:spacing w:after="0" w:line="240" w:lineRule="auto"/>
      </w:pPr>
      <w:r>
        <w:t xml:space="preserve">  </w:t>
      </w:r>
    </w:p>
    <w:p w:rsidR="00610205" w:rsidRPr="00C95618" w:rsidRDefault="00610205" w:rsidP="00AE6805">
      <w:pPr>
        <w:spacing w:after="0" w:line="240" w:lineRule="auto"/>
      </w:pPr>
    </w:p>
    <w:p w:rsidR="00C95618" w:rsidRDefault="00C95618" w:rsidP="00A32EA3">
      <w:pPr>
        <w:spacing w:after="0" w:line="240" w:lineRule="auto"/>
      </w:pPr>
    </w:p>
    <w:p w:rsidR="00C95618" w:rsidRDefault="00C95618" w:rsidP="00A32EA3">
      <w:pPr>
        <w:spacing w:after="0" w:line="240" w:lineRule="auto"/>
      </w:pPr>
    </w:p>
    <w:p w:rsidR="00F54956" w:rsidRPr="00003482" w:rsidRDefault="00F54956" w:rsidP="00A417E5">
      <w:pPr>
        <w:spacing w:after="0" w:line="240" w:lineRule="auto"/>
      </w:pPr>
    </w:p>
    <w:sectPr w:rsidR="00F54956" w:rsidRPr="00003482" w:rsidSect="00871AC6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4A61"/>
    <w:multiLevelType w:val="hybridMultilevel"/>
    <w:tmpl w:val="55E469DC"/>
    <w:lvl w:ilvl="0" w:tplc="F2CAC612">
      <w:start w:val="5"/>
      <w:numFmt w:val="bullet"/>
      <w:lvlText w:val="&gt;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7C0206C"/>
    <w:multiLevelType w:val="hybridMultilevel"/>
    <w:tmpl w:val="EEA6E0CA"/>
    <w:lvl w:ilvl="0" w:tplc="C6A43E42">
      <w:start w:val="2"/>
      <w:numFmt w:val="bullet"/>
      <w:lvlText w:val=""/>
      <w:lvlJc w:val="left"/>
      <w:pPr>
        <w:ind w:left="1065" w:hanging="360"/>
      </w:pPr>
      <w:rPr>
        <w:rFonts w:ascii="Wingdings" w:eastAsiaTheme="minorHAnsi" w:hAnsi="Wingdings" w:cstheme="minorBid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6E5C1655"/>
    <w:multiLevelType w:val="hybridMultilevel"/>
    <w:tmpl w:val="3F6A57C4"/>
    <w:lvl w:ilvl="0" w:tplc="953CBCF2">
      <w:start w:val="2"/>
      <w:numFmt w:val="bullet"/>
      <w:lvlText w:val=""/>
      <w:lvlJc w:val="left"/>
      <w:pPr>
        <w:ind w:left="177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1AC6"/>
    <w:rsid w:val="00003482"/>
    <w:rsid w:val="00091E06"/>
    <w:rsid w:val="000D2C7E"/>
    <w:rsid w:val="003635A4"/>
    <w:rsid w:val="003833D9"/>
    <w:rsid w:val="005F5728"/>
    <w:rsid w:val="0060133A"/>
    <w:rsid w:val="00610205"/>
    <w:rsid w:val="00653458"/>
    <w:rsid w:val="006B459F"/>
    <w:rsid w:val="006C204F"/>
    <w:rsid w:val="00871AC6"/>
    <w:rsid w:val="008A63A0"/>
    <w:rsid w:val="00991F4D"/>
    <w:rsid w:val="00995A2D"/>
    <w:rsid w:val="00A32EA3"/>
    <w:rsid w:val="00A417E5"/>
    <w:rsid w:val="00A55E09"/>
    <w:rsid w:val="00AE6805"/>
    <w:rsid w:val="00C95618"/>
    <w:rsid w:val="00CC4562"/>
    <w:rsid w:val="00D43C61"/>
    <w:rsid w:val="00E36D91"/>
    <w:rsid w:val="00E91407"/>
    <w:rsid w:val="00EC093E"/>
    <w:rsid w:val="00F54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728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7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71AC6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95A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3</Pages>
  <Words>993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Laura</cp:lastModifiedBy>
  <cp:revision>3</cp:revision>
  <dcterms:created xsi:type="dcterms:W3CDTF">2010-01-16T14:09:00Z</dcterms:created>
  <dcterms:modified xsi:type="dcterms:W3CDTF">2010-01-16T18:14:00Z</dcterms:modified>
</cp:coreProperties>
</file>